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B9606C" w14:textId="3CB8A3BB" w:rsidR="00542156" w:rsidRPr="00D50593" w:rsidRDefault="00542156" w:rsidP="00190A2C">
      <w:pPr>
        <w:pStyle w:val="Akapitzlist"/>
        <w:spacing w:after="0" w:line="360" w:lineRule="auto"/>
        <w:ind w:left="6096" w:firstLine="1842"/>
        <w:jc w:val="right"/>
        <w:rPr>
          <w:rFonts w:asciiTheme="minorHAnsi" w:hAnsiTheme="minorHAnsi" w:cstheme="minorHAnsi"/>
          <w:bCs/>
          <w:sz w:val="20"/>
          <w:szCs w:val="20"/>
        </w:rPr>
      </w:pPr>
      <w:r w:rsidRPr="00D50593">
        <w:rPr>
          <w:rFonts w:asciiTheme="minorHAnsi" w:hAnsiTheme="minorHAnsi" w:cstheme="minorHAnsi"/>
          <w:bCs/>
          <w:sz w:val="20"/>
          <w:szCs w:val="20"/>
        </w:rPr>
        <w:t>Załącznik nr 2</w:t>
      </w:r>
      <w:r w:rsidR="00D50593" w:rsidRPr="00D50593">
        <w:rPr>
          <w:rFonts w:asciiTheme="minorHAnsi" w:hAnsiTheme="minorHAnsi" w:cstheme="minorHAnsi"/>
          <w:bCs/>
          <w:sz w:val="20"/>
          <w:szCs w:val="20"/>
        </w:rPr>
        <w:t xml:space="preserve"> do zapytania ofertowego ZPU.271.30.2026</w:t>
      </w:r>
      <w:r w:rsidRPr="00D50593">
        <w:rPr>
          <w:rFonts w:asciiTheme="minorHAnsi" w:hAnsiTheme="minorHAnsi" w:cstheme="minorHAnsi"/>
          <w:bCs/>
          <w:i/>
          <w:sz w:val="20"/>
          <w:szCs w:val="20"/>
        </w:rPr>
        <w:br/>
      </w:r>
    </w:p>
    <w:p w14:paraId="454D4C96" w14:textId="77777777" w:rsidR="00893A4C" w:rsidRDefault="00542156" w:rsidP="00893A4C">
      <w:pPr>
        <w:spacing w:after="0" w:line="360" w:lineRule="auto"/>
        <w:jc w:val="center"/>
        <w:rPr>
          <w:rFonts w:asciiTheme="minorHAnsi" w:hAnsiTheme="minorHAnsi" w:cstheme="minorHAnsi"/>
          <w:b/>
          <w:sz w:val="24"/>
          <w:szCs w:val="24"/>
        </w:rPr>
      </w:pPr>
      <w:r w:rsidRPr="00893A4C">
        <w:rPr>
          <w:rFonts w:asciiTheme="minorHAnsi" w:hAnsiTheme="minorHAnsi" w:cstheme="minorHAnsi"/>
          <w:b/>
          <w:sz w:val="24"/>
          <w:szCs w:val="24"/>
        </w:rPr>
        <w:t>FORMULARZ OFERTOWY</w:t>
      </w:r>
    </w:p>
    <w:p w14:paraId="62F1CD09" w14:textId="624581B2" w:rsidR="00893A4C" w:rsidRDefault="00AF6B32" w:rsidP="00893A4C">
      <w:pPr>
        <w:spacing w:after="0" w:line="360" w:lineRule="auto"/>
        <w:jc w:val="center"/>
        <w:rPr>
          <w:rFonts w:ascii="Times New Roman" w:hAnsi="Times New Roman"/>
          <w:sz w:val="24"/>
          <w:szCs w:val="24"/>
        </w:rPr>
      </w:pPr>
      <w:bookmarkStart w:id="0" w:name="_Hlk186450986"/>
      <w:r>
        <w:rPr>
          <w:rFonts w:ascii="Times New Roman" w:hAnsi="Times New Roman"/>
          <w:sz w:val="24"/>
          <w:szCs w:val="24"/>
        </w:rPr>
        <w:t>kompleksowa</w:t>
      </w:r>
      <w:r w:rsidRPr="001B23A2">
        <w:rPr>
          <w:rFonts w:ascii="Times New Roman" w:hAnsi="Times New Roman"/>
          <w:sz w:val="24"/>
          <w:szCs w:val="24"/>
        </w:rPr>
        <w:t xml:space="preserve"> dostawa </w:t>
      </w:r>
      <w:bookmarkEnd w:id="0"/>
      <w:r w:rsidRPr="001B23A2">
        <w:rPr>
          <w:rFonts w:ascii="Times New Roman" w:hAnsi="Times New Roman"/>
          <w:sz w:val="24"/>
          <w:szCs w:val="24"/>
        </w:rPr>
        <w:t>pomocy dydaktycznych do zajęć edukacyjnych</w:t>
      </w:r>
      <w:r>
        <w:rPr>
          <w:rFonts w:ascii="Times New Roman" w:hAnsi="Times New Roman"/>
          <w:sz w:val="24"/>
          <w:szCs w:val="24"/>
        </w:rPr>
        <w:t>,</w:t>
      </w:r>
      <w:r w:rsidRPr="001B23A2">
        <w:rPr>
          <w:rFonts w:ascii="Times New Roman" w:hAnsi="Times New Roman"/>
          <w:sz w:val="24"/>
          <w:szCs w:val="24"/>
        </w:rPr>
        <w:t xml:space="preserve"> realizowana </w:t>
      </w:r>
      <w:r>
        <w:rPr>
          <w:rFonts w:ascii="Times New Roman" w:hAnsi="Times New Roman"/>
          <w:sz w:val="24"/>
          <w:szCs w:val="24"/>
        </w:rPr>
        <w:t xml:space="preserve">bezpośrednio </w:t>
      </w:r>
      <w:r w:rsidRPr="001B23A2">
        <w:rPr>
          <w:rFonts w:ascii="Times New Roman" w:hAnsi="Times New Roman"/>
          <w:sz w:val="24"/>
          <w:szCs w:val="24"/>
        </w:rPr>
        <w:t>na rzecz i do siedziby szkół, dla których organem prowadzącym jest Gmina Ojrzeń.</w:t>
      </w:r>
    </w:p>
    <w:p w14:paraId="0F45F0FE" w14:textId="77777777" w:rsidR="00AF6B32" w:rsidRPr="00E40DCD" w:rsidRDefault="00AF6B32" w:rsidP="00893A4C">
      <w:pPr>
        <w:spacing w:after="0" w:line="360" w:lineRule="auto"/>
        <w:jc w:val="center"/>
        <w:rPr>
          <w:rFonts w:asciiTheme="minorHAnsi" w:hAnsiTheme="minorHAnsi" w:cstheme="minorHAnsi"/>
          <w:b/>
          <w:sz w:val="24"/>
          <w:szCs w:val="24"/>
        </w:rPr>
      </w:pPr>
    </w:p>
    <w:p w14:paraId="67BCD46F" w14:textId="77777777" w:rsidR="00542156" w:rsidRDefault="00542156" w:rsidP="00542156">
      <w:pPr>
        <w:pStyle w:val="Akapitzlist"/>
        <w:numPr>
          <w:ilvl w:val="0"/>
          <w:numId w:val="1"/>
        </w:numPr>
        <w:spacing w:after="0" w:line="360" w:lineRule="auto"/>
        <w:ind w:left="284" w:hanging="284"/>
        <w:contextualSpacing w:val="0"/>
        <w:rPr>
          <w:rFonts w:asciiTheme="minorHAnsi" w:hAnsiTheme="minorHAnsi" w:cstheme="minorHAnsi"/>
          <w:b/>
          <w:sz w:val="24"/>
          <w:szCs w:val="24"/>
        </w:rPr>
      </w:pPr>
      <w:r w:rsidRPr="00E40DCD">
        <w:rPr>
          <w:rFonts w:asciiTheme="minorHAnsi" w:hAnsiTheme="minorHAnsi" w:cstheme="minorHAnsi"/>
          <w:b/>
          <w:sz w:val="24"/>
          <w:szCs w:val="24"/>
        </w:rPr>
        <w:t>DANE ZAMAWIAJĄCEGO:</w:t>
      </w:r>
    </w:p>
    <w:p w14:paraId="536EBBCE" w14:textId="77777777" w:rsidR="00542156" w:rsidRPr="00542156" w:rsidRDefault="00542156" w:rsidP="00542156">
      <w:pPr>
        <w:pStyle w:val="Akapitzlist"/>
        <w:autoSpaceDE w:val="0"/>
        <w:autoSpaceDN w:val="0"/>
        <w:adjustRightInd w:val="0"/>
        <w:spacing w:after="0" w:line="240" w:lineRule="auto"/>
        <w:ind w:left="502"/>
        <w:jc w:val="both"/>
        <w:rPr>
          <w:rFonts w:ascii="Times New Roman" w:hAnsi="Times New Roman"/>
          <w:sz w:val="24"/>
          <w:szCs w:val="24"/>
        </w:rPr>
      </w:pPr>
      <w:r w:rsidRPr="00542156">
        <w:rPr>
          <w:rFonts w:ascii="Times New Roman" w:hAnsi="Times New Roman"/>
          <w:sz w:val="24"/>
          <w:szCs w:val="24"/>
        </w:rPr>
        <w:t>Gmina Ojrzeń</w:t>
      </w:r>
    </w:p>
    <w:p w14:paraId="5A27B875" w14:textId="77777777" w:rsidR="00542156" w:rsidRPr="00542156" w:rsidRDefault="00542156" w:rsidP="00542156">
      <w:pPr>
        <w:pStyle w:val="Akapitzlist"/>
        <w:autoSpaceDE w:val="0"/>
        <w:autoSpaceDN w:val="0"/>
        <w:adjustRightInd w:val="0"/>
        <w:spacing w:after="0"/>
        <w:ind w:left="502"/>
        <w:jc w:val="both"/>
        <w:rPr>
          <w:rFonts w:ascii="Times New Roman" w:hAnsi="Times New Roman"/>
          <w:sz w:val="24"/>
          <w:szCs w:val="24"/>
        </w:rPr>
      </w:pPr>
      <w:r w:rsidRPr="00542156">
        <w:rPr>
          <w:rFonts w:ascii="Times New Roman" w:hAnsi="Times New Roman"/>
          <w:sz w:val="24"/>
          <w:szCs w:val="24"/>
        </w:rPr>
        <w:t>ul. Ciechanowska 27</w:t>
      </w:r>
    </w:p>
    <w:p w14:paraId="40DC4C8D" w14:textId="77777777" w:rsidR="00542156" w:rsidRPr="00542156" w:rsidRDefault="00542156" w:rsidP="00542156">
      <w:pPr>
        <w:pStyle w:val="Akapitzlist"/>
        <w:autoSpaceDE w:val="0"/>
        <w:autoSpaceDN w:val="0"/>
        <w:adjustRightInd w:val="0"/>
        <w:spacing w:after="0"/>
        <w:ind w:left="502"/>
        <w:jc w:val="both"/>
        <w:rPr>
          <w:rFonts w:ascii="Times New Roman" w:hAnsi="Times New Roman"/>
          <w:sz w:val="24"/>
          <w:szCs w:val="24"/>
        </w:rPr>
      </w:pPr>
      <w:r w:rsidRPr="00542156">
        <w:rPr>
          <w:rFonts w:ascii="Times New Roman" w:hAnsi="Times New Roman"/>
          <w:sz w:val="24"/>
          <w:szCs w:val="24"/>
        </w:rPr>
        <w:t xml:space="preserve">06-456 Ojrzeń  </w:t>
      </w:r>
    </w:p>
    <w:p w14:paraId="5E719436" w14:textId="77777777" w:rsidR="00542156" w:rsidRPr="00542156" w:rsidRDefault="00542156" w:rsidP="00542156">
      <w:pPr>
        <w:pStyle w:val="Akapitzlist"/>
        <w:autoSpaceDE w:val="0"/>
        <w:autoSpaceDN w:val="0"/>
        <w:adjustRightInd w:val="0"/>
        <w:spacing w:after="0"/>
        <w:ind w:left="502"/>
        <w:jc w:val="both"/>
        <w:rPr>
          <w:rFonts w:ascii="Times New Roman" w:hAnsi="Times New Roman"/>
          <w:sz w:val="24"/>
          <w:szCs w:val="24"/>
        </w:rPr>
      </w:pPr>
      <w:r w:rsidRPr="00542156">
        <w:rPr>
          <w:rFonts w:ascii="Times New Roman" w:hAnsi="Times New Roman"/>
          <w:sz w:val="24"/>
          <w:szCs w:val="24"/>
        </w:rPr>
        <w:t>NIP 5661874365</w:t>
      </w:r>
    </w:p>
    <w:p w14:paraId="464FD766" w14:textId="77777777" w:rsidR="00542156" w:rsidRPr="00542156" w:rsidRDefault="00542156" w:rsidP="00542156">
      <w:pPr>
        <w:pStyle w:val="Akapitzlist"/>
        <w:autoSpaceDE w:val="0"/>
        <w:autoSpaceDN w:val="0"/>
        <w:adjustRightInd w:val="0"/>
        <w:spacing w:after="0"/>
        <w:ind w:left="502"/>
        <w:jc w:val="both"/>
        <w:rPr>
          <w:rFonts w:ascii="Times New Roman" w:hAnsi="Times New Roman"/>
          <w:sz w:val="24"/>
          <w:szCs w:val="24"/>
        </w:rPr>
      </w:pPr>
      <w:r w:rsidRPr="00542156">
        <w:rPr>
          <w:rFonts w:ascii="Times New Roman" w:hAnsi="Times New Roman"/>
          <w:sz w:val="24"/>
          <w:szCs w:val="24"/>
        </w:rPr>
        <w:t>REGON 130378338</w:t>
      </w:r>
    </w:p>
    <w:p w14:paraId="6264E33E" w14:textId="77777777" w:rsidR="00542156" w:rsidRPr="00E40DCD" w:rsidRDefault="00542156" w:rsidP="00542156">
      <w:pPr>
        <w:pStyle w:val="Akapitzlist"/>
        <w:spacing w:after="0" w:line="360" w:lineRule="auto"/>
        <w:ind w:left="284"/>
        <w:contextualSpacing w:val="0"/>
        <w:rPr>
          <w:rFonts w:asciiTheme="minorHAnsi" w:hAnsiTheme="minorHAnsi" w:cstheme="minorHAnsi"/>
          <w:b/>
          <w:sz w:val="24"/>
          <w:szCs w:val="24"/>
        </w:rPr>
      </w:pPr>
    </w:p>
    <w:p w14:paraId="0EA32182" w14:textId="77777777" w:rsidR="00542156" w:rsidRPr="00E40DCD" w:rsidRDefault="00542156" w:rsidP="00542156">
      <w:pPr>
        <w:pStyle w:val="Akapitzlist"/>
        <w:numPr>
          <w:ilvl w:val="0"/>
          <w:numId w:val="1"/>
        </w:numPr>
        <w:spacing w:after="0" w:line="360" w:lineRule="auto"/>
        <w:ind w:left="284" w:hanging="284"/>
        <w:contextualSpacing w:val="0"/>
        <w:rPr>
          <w:rFonts w:asciiTheme="minorHAnsi" w:hAnsiTheme="minorHAnsi" w:cstheme="minorHAnsi"/>
          <w:b/>
          <w:sz w:val="24"/>
          <w:szCs w:val="24"/>
        </w:rPr>
      </w:pPr>
      <w:r w:rsidRPr="00E40DCD">
        <w:rPr>
          <w:rFonts w:asciiTheme="minorHAnsi" w:hAnsiTheme="minorHAnsi" w:cstheme="minorHAnsi"/>
          <w:b/>
          <w:sz w:val="24"/>
          <w:szCs w:val="24"/>
        </w:rPr>
        <w:t>DANE WYKONAWCY:</w:t>
      </w:r>
    </w:p>
    <w:p w14:paraId="2349300D" w14:textId="77777777" w:rsidR="00542156" w:rsidRPr="00E40DCD" w:rsidRDefault="00542156" w:rsidP="00542156">
      <w:pPr>
        <w:pStyle w:val="Akapitzlist"/>
        <w:spacing w:after="0" w:line="360" w:lineRule="auto"/>
        <w:ind w:left="426"/>
        <w:contextualSpacing w:val="0"/>
        <w:rPr>
          <w:rFonts w:asciiTheme="minorHAnsi" w:hAnsiTheme="minorHAnsi" w:cstheme="minorHAnsi"/>
          <w:i/>
          <w:sz w:val="24"/>
          <w:szCs w:val="24"/>
        </w:rPr>
      </w:pPr>
      <w:r w:rsidRPr="00E40DCD">
        <w:rPr>
          <w:rFonts w:asciiTheme="minorHAnsi" w:hAnsiTheme="minorHAnsi" w:cstheme="minorHAnsi"/>
          <w:i/>
          <w:sz w:val="24"/>
          <w:szCs w:val="24"/>
        </w:rPr>
        <w:t>Nazwa albo imię i nazwisko Wykonawcy (w przypadku składania oferty przez Wykonawców wspólnie ubiegających się o udzielenie zamówienia należy podać nazwy oraz dokładne adresy wszystkich Wykonawców):</w:t>
      </w:r>
    </w:p>
    <w:p w14:paraId="49C52290" w14:textId="77777777" w:rsidR="00542156" w:rsidRPr="00E40DCD" w:rsidRDefault="00542156" w:rsidP="00542156">
      <w:pPr>
        <w:pStyle w:val="Akapitzlist"/>
        <w:spacing w:after="0" w:line="360" w:lineRule="auto"/>
        <w:ind w:left="426"/>
        <w:contextualSpacing w:val="0"/>
        <w:rPr>
          <w:rFonts w:asciiTheme="minorHAnsi" w:hAnsiTheme="minorHAnsi" w:cstheme="minorHAnsi"/>
          <w:b/>
          <w:sz w:val="24"/>
          <w:szCs w:val="24"/>
        </w:rPr>
      </w:pPr>
      <w:r w:rsidRPr="00E40DCD">
        <w:rPr>
          <w:rFonts w:asciiTheme="minorHAnsi" w:hAnsiTheme="minorHAnsi" w:cstheme="minorHAnsi"/>
          <w:b/>
          <w:sz w:val="24"/>
          <w:szCs w:val="24"/>
        </w:rPr>
        <w:t>......................................................................................................................................</w:t>
      </w:r>
    </w:p>
    <w:p w14:paraId="2ACBBEDD" w14:textId="77777777" w:rsidR="00542156" w:rsidRDefault="00542156" w:rsidP="00542156">
      <w:pPr>
        <w:pStyle w:val="Akapitzlist"/>
        <w:spacing w:after="0" w:line="360" w:lineRule="auto"/>
        <w:ind w:left="426"/>
        <w:contextualSpacing w:val="0"/>
        <w:rPr>
          <w:rFonts w:asciiTheme="minorHAnsi" w:hAnsiTheme="minorHAnsi" w:cstheme="minorHAnsi"/>
          <w:b/>
          <w:sz w:val="24"/>
          <w:szCs w:val="24"/>
        </w:rPr>
      </w:pPr>
      <w:r w:rsidRPr="00E40DCD">
        <w:rPr>
          <w:rFonts w:asciiTheme="minorHAnsi" w:hAnsiTheme="minorHAnsi" w:cstheme="minorHAnsi"/>
          <w:b/>
          <w:sz w:val="24"/>
          <w:szCs w:val="24"/>
        </w:rPr>
        <w:t>......................................................................................................................................</w:t>
      </w:r>
    </w:p>
    <w:p w14:paraId="6565E1E0" w14:textId="77777777" w:rsidR="00542156" w:rsidRPr="00E40DCD" w:rsidRDefault="00542156" w:rsidP="00542156">
      <w:pPr>
        <w:pStyle w:val="Akapitzlist"/>
        <w:spacing w:after="0" w:line="360" w:lineRule="auto"/>
        <w:ind w:left="426"/>
        <w:contextualSpacing w:val="0"/>
        <w:rPr>
          <w:rFonts w:asciiTheme="minorHAnsi" w:hAnsiTheme="minorHAnsi" w:cstheme="minorHAnsi"/>
          <w:i/>
          <w:sz w:val="24"/>
          <w:szCs w:val="24"/>
        </w:rPr>
      </w:pPr>
      <w:r w:rsidRPr="00E40DCD">
        <w:rPr>
          <w:rFonts w:asciiTheme="minorHAnsi" w:hAnsiTheme="minorHAnsi" w:cstheme="minorHAnsi"/>
          <w:i/>
          <w:sz w:val="24"/>
          <w:szCs w:val="24"/>
        </w:rPr>
        <w:t>Siedziba albo miejsce zamieszkania i adres Wykonawcy:</w:t>
      </w:r>
    </w:p>
    <w:p w14:paraId="1097340E" w14:textId="77777777" w:rsidR="00542156" w:rsidRPr="00E40DCD" w:rsidRDefault="00542156" w:rsidP="00542156">
      <w:pPr>
        <w:pStyle w:val="Akapitzlist"/>
        <w:spacing w:after="0" w:line="360" w:lineRule="auto"/>
        <w:ind w:left="426"/>
        <w:contextualSpacing w:val="0"/>
        <w:rPr>
          <w:rFonts w:asciiTheme="minorHAnsi" w:hAnsiTheme="minorHAnsi" w:cstheme="minorHAnsi"/>
          <w:b/>
          <w:sz w:val="24"/>
          <w:szCs w:val="24"/>
        </w:rPr>
      </w:pPr>
      <w:r w:rsidRPr="00E40DCD">
        <w:rPr>
          <w:rFonts w:asciiTheme="minorHAnsi" w:hAnsiTheme="minorHAnsi" w:cstheme="minorHAnsi"/>
          <w:b/>
          <w:sz w:val="24"/>
          <w:szCs w:val="24"/>
        </w:rPr>
        <w:t>......................................................................................................................................</w:t>
      </w:r>
    </w:p>
    <w:p w14:paraId="13B4C339" w14:textId="77777777" w:rsidR="00542156" w:rsidRPr="00E40DCD" w:rsidRDefault="00542156" w:rsidP="00542156">
      <w:pPr>
        <w:pStyle w:val="Akapitzlist"/>
        <w:spacing w:after="0" w:line="360" w:lineRule="auto"/>
        <w:ind w:left="426"/>
        <w:contextualSpacing w:val="0"/>
        <w:rPr>
          <w:rFonts w:asciiTheme="minorHAnsi" w:hAnsiTheme="minorHAnsi" w:cstheme="minorHAnsi"/>
          <w:b/>
          <w:sz w:val="24"/>
          <w:szCs w:val="24"/>
        </w:rPr>
      </w:pPr>
      <w:r w:rsidRPr="00E40DCD">
        <w:rPr>
          <w:rFonts w:asciiTheme="minorHAnsi" w:hAnsiTheme="minorHAnsi" w:cstheme="minorHAnsi"/>
          <w:b/>
          <w:sz w:val="24"/>
          <w:szCs w:val="24"/>
        </w:rPr>
        <w:t>......................................................................................................................................</w:t>
      </w:r>
    </w:p>
    <w:p w14:paraId="18B215C9" w14:textId="77777777" w:rsidR="00542156" w:rsidRPr="00E40DCD" w:rsidRDefault="00542156" w:rsidP="00542156">
      <w:pPr>
        <w:pStyle w:val="Akapitzlist"/>
        <w:spacing w:after="0" w:line="360" w:lineRule="auto"/>
        <w:ind w:left="714" w:hanging="288"/>
        <w:contextualSpacing w:val="0"/>
        <w:rPr>
          <w:rFonts w:asciiTheme="minorHAnsi" w:hAnsiTheme="minorHAnsi" w:cstheme="minorHAnsi"/>
          <w:sz w:val="24"/>
          <w:szCs w:val="24"/>
        </w:rPr>
      </w:pPr>
      <w:r w:rsidRPr="00E40DCD">
        <w:rPr>
          <w:rFonts w:asciiTheme="minorHAnsi" w:hAnsiTheme="minorHAnsi" w:cstheme="minorHAnsi"/>
          <w:sz w:val="24"/>
          <w:szCs w:val="24"/>
        </w:rPr>
        <w:t xml:space="preserve">NIP: </w:t>
      </w:r>
      <w:r w:rsidRPr="00E40DCD">
        <w:rPr>
          <w:rFonts w:asciiTheme="minorHAnsi" w:hAnsiTheme="minorHAnsi" w:cstheme="minorHAnsi"/>
          <w:b/>
          <w:sz w:val="24"/>
          <w:szCs w:val="24"/>
        </w:rPr>
        <w:t>...............................................................................................................................</w:t>
      </w:r>
    </w:p>
    <w:p w14:paraId="02FA7CB7" w14:textId="77777777" w:rsidR="00542156" w:rsidRPr="00E40DCD" w:rsidRDefault="00542156" w:rsidP="00542156">
      <w:pPr>
        <w:pStyle w:val="Akapitzlist"/>
        <w:spacing w:after="0" w:line="360" w:lineRule="auto"/>
        <w:ind w:left="714" w:hanging="288"/>
        <w:contextualSpacing w:val="0"/>
        <w:rPr>
          <w:rFonts w:asciiTheme="minorHAnsi" w:hAnsiTheme="minorHAnsi" w:cstheme="minorHAnsi"/>
          <w:sz w:val="24"/>
          <w:szCs w:val="24"/>
        </w:rPr>
      </w:pPr>
      <w:r w:rsidRPr="00E40DCD">
        <w:rPr>
          <w:rFonts w:asciiTheme="minorHAnsi" w:hAnsiTheme="minorHAnsi" w:cstheme="minorHAnsi"/>
          <w:sz w:val="24"/>
          <w:szCs w:val="24"/>
        </w:rPr>
        <w:t xml:space="preserve">REGON: </w:t>
      </w:r>
      <w:r w:rsidRPr="00E40DCD">
        <w:rPr>
          <w:rFonts w:asciiTheme="minorHAnsi" w:hAnsiTheme="minorHAnsi" w:cstheme="minorHAnsi"/>
          <w:b/>
          <w:sz w:val="24"/>
          <w:szCs w:val="24"/>
        </w:rPr>
        <w:t>.........................................................................................................................</w:t>
      </w:r>
      <w:r w:rsidRPr="00E40DCD">
        <w:rPr>
          <w:rFonts w:asciiTheme="minorHAnsi" w:hAnsiTheme="minorHAnsi" w:cstheme="minorHAnsi"/>
          <w:sz w:val="24"/>
          <w:szCs w:val="24"/>
        </w:rPr>
        <w:t xml:space="preserve"> </w:t>
      </w:r>
    </w:p>
    <w:p w14:paraId="5E8F30E6" w14:textId="77777777" w:rsidR="00542156" w:rsidRPr="00E40DCD" w:rsidRDefault="00542156" w:rsidP="00542156">
      <w:pPr>
        <w:pStyle w:val="Akapitzlist"/>
        <w:spacing w:after="0" w:line="360" w:lineRule="auto"/>
        <w:ind w:left="426"/>
        <w:contextualSpacing w:val="0"/>
        <w:rPr>
          <w:rFonts w:asciiTheme="minorHAnsi" w:hAnsiTheme="minorHAnsi" w:cstheme="minorHAnsi"/>
          <w:i/>
          <w:sz w:val="24"/>
          <w:szCs w:val="24"/>
        </w:rPr>
      </w:pPr>
      <w:r w:rsidRPr="00E40DCD">
        <w:rPr>
          <w:rFonts w:asciiTheme="minorHAnsi" w:hAnsiTheme="minorHAnsi" w:cstheme="minorHAnsi"/>
          <w:i/>
          <w:sz w:val="24"/>
          <w:szCs w:val="24"/>
        </w:rPr>
        <w:t xml:space="preserve">Dane teleadresowe, na które należy przekazywać korespondencję związaną z niniejszym postępowaniem: </w:t>
      </w:r>
    </w:p>
    <w:p w14:paraId="3653DF25" w14:textId="77777777" w:rsidR="00542156" w:rsidRPr="00E40DCD" w:rsidRDefault="00542156" w:rsidP="00542156">
      <w:pPr>
        <w:pStyle w:val="Akapitzlist"/>
        <w:numPr>
          <w:ilvl w:val="0"/>
          <w:numId w:val="2"/>
        </w:numPr>
        <w:spacing w:after="0" w:line="360" w:lineRule="auto"/>
        <w:ind w:left="851" w:hanging="284"/>
        <w:contextualSpacing w:val="0"/>
        <w:rPr>
          <w:rFonts w:asciiTheme="minorHAnsi" w:hAnsiTheme="minorHAnsi" w:cstheme="minorHAnsi"/>
          <w:sz w:val="24"/>
          <w:szCs w:val="24"/>
        </w:rPr>
      </w:pPr>
      <w:r w:rsidRPr="00E40DCD">
        <w:rPr>
          <w:rFonts w:asciiTheme="minorHAnsi" w:hAnsiTheme="minorHAnsi" w:cstheme="minorHAnsi"/>
          <w:sz w:val="24"/>
          <w:szCs w:val="24"/>
        </w:rPr>
        <w:t xml:space="preserve">adres korespondencyjny: </w:t>
      </w:r>
      <w:r w:rsidRPr="00E40DCD">
        <w:rPr>
          <w:rFonts w:asciiTheme="minorHAnsi" w:hAnsiTheme="minorHAnsi" w:cstheme="minorHAnsi"/>
          <w:b/>
          <w:sz w:val="24"/>
          <w:szCs w:val="24"/>
        </w:rPr>
        <w:t>…………………………….…………………….……..……………………….…</w:t>
      </w:r>
    </w:p>
    <w:p w14:paraId="1D5EA511" w14:textId="77777777" w:rsidR="00542156" w:rsidRPr="00E40DCD" w:rsidRDefault="00542156" w:rsidP="00542156">
      <w:pPr>
        <w:pStyle w:val="Akapitzlist"/>
        <w:numPr>
          <w:ilvl w:val="0"/>
          <w:numId w:val="2"/>
        </w:numPr>
        <w:spacing w:after="0" w:line="360" w:lineRule="auto"/>
        <w:ind w:left="851" w:hanging="284"/>
        <w:contextualSpacing w:val="0"/>
        <w:rPr>
          <w:rFonts w:asciiTheme="minorHAnsi" w:hAnsiTheme="minorHAnsi" w:cstheme="minorHAnsi"/>
          <w:b/>
          <w:sz w:val="24"/>
          <w:szCs w:val="24"/>
        </w:rPr>
      </w:pPr>
      <w:r w:rsidRPr="00E40DCD">
        <w:rPr>
          <w:rFonts w:asciiTheme="minorHAnsi" w:hAnsiTheme="minorHAnsi" w:cstheme="minorHAnsi"/>
          <w:sz w:val="24"/>
          <w:szCs w:val="24"/>
        </w:rPr>
        <w:t xml:space="preserve">numer telefonu: </w:t>
      </w:r>
      <w:r w:rsidRPr="00E40DCD">
        <w:rPr>
          <w:rFonts w:asciiTheme="minorHAnsi" w:hAnsiTheme="minorHAnsi" w:cstheme="minorHAnsi"/>
          <w:b/>
          <w:sz w:val="24"/>
          <w:szCs w:val="24"/>
        </w:rPr>
        <w:t>………………………………..………………….………………..…………………………….</w:t>
      </w:r>
    </w:p>
    <w:p w14:paraId="52EF4781" w14:textId="77777777" w:rsidR="00542156" w:rsidRPr="00E40DCD" w:rsidRDefault="00542156" w:rsidP="00542156">
      <w:pPr>
        <w:pStyle w:val="Akapitzlist"/>
        <w:numPr>
          <w:ilvl w:val="0"/>
          <w:numId w:val="2"/>
        </w:numPr>
        <w:spacing w:after="0" w:line="360" w:lineRule="auto"/>
        <w:ind w:left="851" w:hanging="284"/>
        <w:contextualSpacing w:val="0"/>
        <w:rPr>
          <w:rFonts w:asciiTheme="minorHAnsi" w:hAnsiTheme="minorHAnsi" w:cstheme="minorHAnsi"/>
          <w:b/>
          <w:sz w:val="24"/>
          <w:szCs w:val="24"/>
        </w:rPr>
      </w:pPr>
      <w:r w:rsidRPr="00E40DCD">
        <w:rPr>
          <w:rFonts w:asciiTheme="minorHAnsi" w:hAnsiTheme="minorHAnsi" w:cstheme="minorHAnsi"/>
          <w:sz w:val="24"/>
          <w:szCs w:val="24"/>
        </w:rPr>
        <w:t xml:space="preserve">e-mail: </w:t>
      </w:r>
      <w:r w:rsidRPr="00E40DCD">
        <w:rPr>
          <w:rFonts w:asciiTheme="minorHAnsi" w:hAnsiTheme="minorHAnsi" w:cstheme="minorHAnsi"/>
          <w:b/>
          <w:sz w:val="24"/>
          <w:szCs w:val="24"/>
        </w:rPr>
        <w:t>………………………….........................................................................................</w:t>
      </w:r>
    </w:p>
    <w:p w14:paraId="409700E5" w14:textId="77777777" w:rsidR="00542156" w:rsidRPr="00E40DCD" w:rsidRDefault="00542156" w:rsidP="00542156">
      <w:pPr>
        <w:pStyle w:val="Akapitzlist"/>
        <w:spacing w:after="0" w:line="360" w:lineRule="auto"/>
        <w:ind w:left="426"/>
        <w:contextualSpacing w:val="0"/>
        <w:rPr>
          <w:rFonts w:asciiTheme="minorHAnsi" w:hAnsiTheme="minorHAnsi" w:cstheme="minorHAnsi"/>
          <w:i/>
          <w:sz w:val="24"/>
          <w:szCs w:val="24"/>
        </w:rPr>
      </w:pPr>
      <w:r w:rsidRPr="00E40DCD">
        <w:rPr>
          <w:rFonts w:asciiTheme="minorHAnsi" w:hAnsiTheme="minorHAnsi" w:cstheme="minorHAnsi"/>
          <w:i/>
          <w:sz w:val="24"/>
          <w:szCs w:val="24"/>
        </w:rPr>
        <w:t>Osoba upoważniona do reprezentacji Wykonawcy/-ów i podpisująca ofertę:</w:t>
      </w:r>
    </w:p>
    <w:p w14:paraId="7C0A33A5" w14:textId="77777777" w:rsidR="00542156" w:rsidRPr="00E40DCD" w:rsidRDefault="00542156" w:rsidP="00542156">
      <w:pPr>
        <w:pStyle w:val="Akapitzlist"/>
        <w:spacing w:after="0" w:line="360" w:lineRule="auto"/>
        <w:ind w:left="426"/>
        <w:contextualSpacing w:val="0"/>
        <w:rPr>
          <w:rFonts w:asciiTheme="minorHAnsi" w:hAnsiTheme="minorHAnsi" w:cstheme="minorHAnsi"/>
          <w:b/>
          <w:sz w:val="24"/>
          <w:szCs w:val="24"/>
        </w:rPr>
      </w:pPr>
      <w:r w:rsidRPr="00E40DCD">
        <w:rPr>
          <w:rFonts w:asciiTheme="minorHAnsi" w:hAnsiTheme="minorHAnsi" w:cstheme="minorHAnsi"/>
          <w:b/>
          <w:sz w:val="24"/>
          <w:szCs w:val="24"/>
        </w:rPr>
        <w:t>......................................................................................................................................</w:t>
      </w:r>
    </w:p>
    <w:p w14:paraId="2E6C34B5" w14:textId="77777777" w:rsidR="00542156" w:rsidRPr="00E40DCD" w:rsidRDefault="00542156" w:rsidP="00542156">
      <w:pPr>
        <w:pStyle w:val="Akapitzlist"/>
        <w:spacing w:after="0" w:line="360" w:lineRule="auto"/>
        <w:ind w:left="426"/>
        <w:contextualSpacing w:val="0"/>
        <w:rPr>
          <w:rFonts w:asciiTheme="minorHAnsi" w:hAnsiTheme="minorHAnsi" w:cstheme="minorHAnsi"/>
          <w:i/>
          <w:sz w:val="24"/>
          <w:szCs w:val="24"/>
        </w:rPr>
      </w:pPr>
      <w:r w:rsidRPr="00E40DCD">
        <w:rPr>
          <w:rFonts w:asciiTheme="minorHAnsi" w:hAnsiTheme="minorHAnsi" w:cstheme="minorHAnsi"/>
          <w:i/>
          <w:sz w:val="24"/>
          <w:szCs w:val="24"/>
        </w:rPr>
        <w:t xml:space="preserve">Osoba odpowiedzialna za kontakty z Zamawiającym: </w:t>
      </w:r>
    </w:p>
    <w:p w14:paraId="06E139F3" w14:textId="74929592" w:rsidR="00542156" w:rsidRDefault="00542156" w:rsidP="00893A4C">
      <w:pPr>
        <w:pStyle w:val="Akapitzlist"/>
        <w:spacing w:after="0" w:line="360" w:lineRule="auto"/>
        <w:ind w:left="426"/>
        <w:contextualSpacing w:val="0"/>
        <w:rPr>
          <w:rFonts w:asciiTheme="minorHAnsi" w:hAnsiTheme="minorHAnsi" w:cstheme="minorHAnsi"/>
          <w:b/>
          <w:sz w:val="24"/>
          <w:szCs w:val="24"/>
        </w:rPr>
      </w:pPr>
      <w:r w:rsidRPr="00E40DCD">
        <w:rPr>
          <w:rFonts w:asciiTheme="minorHAnsi" w:hAnsiTheme="minorHAnsi" w:cstheme="minorHAnsi"/>
          <w:b/>
          <w:sz w:val="24"/>
          <w:szCs w:val="24"/>
        </w:rPr>
        <w:t>......................................................................................................................................</w:t>
      </w:r>
    </w:p>
    <w:p w14:paraId="0978D18F" w14:textId="77777777" w:rsidR="00542156" w:rsidRPr="00E40DCD" w:rsidRDefault="00542156" w:rsidP="00542156">
      <w:pPr>
        <w:pStyle w:val="Akapitzlist"/>
        <w:spacing w:after="0" w:line="360" w:lineRule="auto"/>
        <w:ind w:left="426"/>
        <w:contextualSpacing w:val="0"/>
        <w:rPr>
          <w:rFonts w:asciiTheme="minorHAnsi" w:hAnsiTheme="minorHAnsi" w:cstheme="minorHAnsi"/>
          <w:b/>
          <w:sz w:val="24"/>
          <w:szCs w:val="24"/>
        </w:rPr>
      </w:pPr>
    </w:p>
    <w:p w14:paraId="7B0C09DA" w14:textId="77777777" w:rsidR="00542156" w:rsidRPr="00E40DCD" w:rsidRDefault="00542156" w:rsidP="00542156">
      <w:pPr>
        <w:pStyle w:val="Akapitzlist"/>
        <w:numPr>
          <w:ilvl w:val="0"/>
          <w:numId w:val="1"/>
        </w:numPr>
        <w:spacing w:after="0" w:line="360" w:lineRule="auto"/>
        <w:ind w:left="284"/>
        <w:rPr>
          <w:rFonts w:asciiTheme="minorHAnsi" w:hAnsiTheme="minorHAnsi" w:cstheme="minorHAnsi"/>
          <w:b/>
          <w:sz w:val="24"/>
          <w:szCs w:val="24"/>
        </w:rPr>
      </w:pPr>
      <w:r w:rsidRPr="00E40DCD">
        <w:rPr>
          <w:rFonts w:asciiTheme="minorHAnsi" w:hAnsiTheme="minorHAnsi" w:cstheme="minorHAnsi"/>
          <w:b/>
          <w:sz w:val="24"/>
          <w:szCs w:val="24"/>
        </w:rPr>
        <w:t>TREŚĆ OFERTY:</w:t>
      </w:r>
    </w:p>
    <w:p w14:paraId="17E2E529" w14:textId="77777777" w:rsidR="00542156" w:rsidRDefault="00542156" w:rsidP="00542156">
      <w:pPr>
        <w:spacing w:after="0" w:line="360" w:lineRule="auto"/>
        <w:rPr>
          <w:rFonts w:asciiTheme="minorHAnsi" w:hAnsiTheme="minorHAnsi" w:cstheme="minorHAnsi"/>
          <w:bCs/>
          <w:sz w:val="24"/>
          <w:szCs w:val="24"/>
          <w:lang w:eastAsia="pl-PL"/>
        </w:rPr>
      </w:pPr>
      <w:r w:rsidRPr="00E40DCD">
        <w:rPr>
          <w:rFonts w:asciiTheme="minorHAnsi" w:hAnsiTheme="minorHAnsi" w:cstheme="minorHAnsi"/>
          <w:bCs/>
          <w:sz w:val="24"/>
          <w:szCs w:val="24"/>
          <w:lang w:eastAsia="pl-PL"/>
        </w:rPr>
        <w:t>Niniejszym oferuję wykonanie Przedmiotu zamówienia, zgodnie</w:t>
      </w:r>
      <w:r>
        <w:rPr>
          <w:rFonts w:asciiTheme="minorHAnsi" w:hAnsiTheme="minorHAnsi" w:cstheme="minorHAnsi"/>
          <w:bCs/>
          <w:sz w:val="24"/>
          <w:szCs w:val="24"/>
          <w:lang w:eastAsia="pl-PL"/>
        </w:rPr>
        <w:t xml:space="preserve"> z opisem przedmiotu zamówienia</w:t>
      </w:r>
      <w:r w:rsidRPr="00E40DCD">
        <w:rPr>
          <w:rFonts w:asciiTheme="minorHAnsi" w:hAnsiTheme="minorHAnsi" w:cstheme="minorHAnsi"/>
          <w:bCs/>
          <w:sz w:val="24"/>
          <w:szCs w:val="24"/>
          <w:lang w:eastAsia="pl-PL"/>
        </w:rPr>
        <w:t xml:space="preserve"> </w:t>
      </w:r>
      <w:r>
        <w:rPr>
          <w:rFonts w:asciiTheme="minorHAnsi" w:hAnsiTheme="minorHAnsi" w:cstheme="minorHAnsi"/>
          <w:bCs/>
          <w:sz w:val="24"/>
          <w:szCs w:val="24"/>
          <w:lang w:eastAsia="pl-PL"/>
        </w:rPr>
        <w:br/>
      </w:r>
      <w:r w:rsidRPr="00E40DCD">
        <w:rPr>
          <w:rFonts w:asciiTheme="minorHAnsi" w:hAnsiTheme="minorHAnsi" w:cstheme="minorHAnsi"/>
          <w:bCs/>
          <w:sz w:val="24"/>
          <w:szCs w:val="24"/>
          <w:lang w:eastAsia="pl-PL"/>
        </w:rPr>
        <w:t>i na warunkach określonych we wzorze umowy</w:t>
      </w:r>
      <w:r>
        <w:rPr>
          <w:rFonts w:asciiTheme="minorHAnsi" w:hAnsiTheme="minorHAnsi" w:cstheme="minorHAnsi"/>
          <w:bCs/>
          <w:sz w:val="24"/>
          <w:szCs w:val="24"/>
          <w:lang w:eastAsia="pl-PL"/>
        </w:rPr>
        <w:t>:</w:t>
      </w:r>
    </w:p>
    <w:p w14:paraId="767E1E33" w14:textId="77777777" w:rsidR="00542156" w:rsidRPr="008E3E5E" w:rsidRDefault="00542156" w:rsidP="00542156">
      <w:pPr>
        <w:pStyle w:val="Akapitzlist"/>
        <w:numPr>
          <w:ilvl w:val="0"/>
          <w:numId w:val="8"/>
        </w:numPr>
        <w:spacing w:after="0" w:line="360" w:lineRule="auto"/>
        <w:ind w:left="426"/>
        <w:rPr>
          <w:rFonts w:asciiTheme="minorHAnsi" w:hAnsiTheme="minorHAnsi" w:cstheme="minorHAnsi"/>
          <w:bCs/>
          <w:sz w:val="24"/>
          <w:szCs w:val="24"/>
          <w:lang w:eastAsia="pl-PL"/>
        </w:rPr>
      </w:pPr>
      <w:r>
        <w:rPr>
          <w:rFonts w:asciiTheme="minorHAnsi" w:hAnsiTheme="minorHAnsi" w:cstheme="minorHAnsi"/>
          <w:bCs/>
          <w:sz w:val="24"/>
          <w:szCs w:val="24"/>
          <w:lang w:eastAsia="pl-PL"/>
        </w:rPr>
        <w:t>za łączną</w:t>
      </w:r>
      <w:r w:rsidRPr="008E3E5E">
        <w:rPr>
          <w:rFonts w:asciiTheme="minorHAnsi" w:hAnsiTheme="minorHAnsi" w:cstheme="minorHAnsi"/>
          <w:bCs/>
          <w:sz w:val="24"/>
          <w:szCs w:val="24"/>
          <w:lang w:eastAsia="pl-PL"/>
        </w:rPr>
        <w:t xml:space="preserve"> cenę:</w:t>
      </w:r>
    </w:p>
    <w:p w14:paraId="5F596F3B" w14:textId="3EA3669B" w:rsidR="00542156" w:rsidRPr="00E40DCD" w:rsidRDefault="00542156" w:rsidP="00542156">
      <w:pPr>
        <w:spacing w:after="0" w:line="360" w:lineRule="auto"/>
        <w:rPr>
          <w:rFonts w:asciiTheme="minorHAnsi" w:hAnsiTheme="minorHAnsi" w:cstheme="minorHAnsi"/>
          <w:bCs/>
          <w:sz w:val="24"/>
          <w:szCs w:val="24"/>
          <w:lang w:eastAsia="pl-PL"/>
        </w:rPr>
      </w:pPr>
      <w:r w:rsidRPr="00E40DCD">
        <w:rPr>
          <w:rFonts w:asciiTheme="minorHAnsi" w:hAnsiTheme="minorHAnsi" w:cstheme="minorHAnsi"/>
          <w:bCs/>
          <w:sz w:val="24"/>
          <w:szCs w:val="24"/>
          <w:lang w:eastAsia="pl-PL"/>
        </w:rPr>
        <w:t>Netto…………………………………….………..zł</w:t>
      </w:r>
      <w:r w:rsidR="00893A4C" w:rsidRPr="00E40DCD">
        <w:rPr>
          <w:rFonts w:asciiTheme="minorHAnsi" w:hAnsiTheme="minorHAnsi" w:cstheme="minorHAnsi"/>
          <w:bCs/>
          <w:sz w:val="24"/>
          <w:szCs w:val="24"/>
          <w:lang w:eastAsia="pl-PL"/>
        </w:rPr>
        <w:t xml:space="preserve"> (słownie ……………………………………..……………………………)</w:t>
      </w:r>
    </w:p>
    <w:p w14:paraId="050D0912" w14:textId="13FF27B7" w:rsidR="00542156" w:rsidRPr="00E40DCD" w:rsidRDefault="00542156" w:rsidP="00542156">
      <w:pPr>
        <w:spacing w:after="0" w:line="360" w:lineRule="auto"/>
        <w:rPr>
          <w:rFonts w:asciiTheme="minorHAnsi" w:hAnsiTheme="minorHAnsi" w:cstheme="minorHAnsi"/>
          <w:bCs/>
          <w:sz w:val="24"/>
          <w:szCs w:val="24"/>
          <w:lang w:eastAsia="pl-PL"/>
        </w:rPr>
      </w:pPr>
      <w:r w:rsidRPr="00E40DCD">
        <w:rPr>
          <w:rFonts w:asciiTheme="minorHAnsi" w:hAnsiTheme="minorHAnsi" w:cstheme="minorHAnsi"/>
          <w:bCs/>
          <w:sz w:val="24"/>
          <w:szCs w:val="24"/>
          <w:lang w:eastAsia="pl-PL"/>
        </w:rPr>
        <w:t>Stawka podatku VAT ……, tj. …………. zł</w:t>
      </w:r>
      <w:r w:rsidR="00893A4C" w:rsidRPr="00E40DCD">
        <w:rPr>
          <w:rFonts w:asciiTheme="minorHAnsi" w:hAnsiTheme="minorHAnsi" w:cstheme="minorHAnsi"/>
          <w:bCs/>
          <w:sz w:val="24"/>
          <w:szCs w:val="24"/>
          <w:lang w:eastAsia="pl-PL"/>
        </w:rPr>
        <w:t xml:space="preserve"> (słownie ……………………………………..……………………………)</w:t>
      </w:r>
    </w:p>
    <w:p w14:paraId="5A854377" w14:textId="368103E4" w:rsidR="00D50593" w:rsidRDefault="00542156" w:rsidP="00542156">
      <w:pPr>
        <w:spacing w:after="0" w:line="360" w:lineRule="auto"/>
        <w:rPr>
          <w:rFonts w:asciiTheme="minorHAnsi" w:hAnsiTheme="minorHAnsi" w:cstheme="minorHAnsi"/>
          <w:bCs/>
          <w:sz w:val="24"/>
          <w:szCs w:val="24"/>
          <w:lang w:eastAsia="pl-PL"/>
        </w:rPr>
      </w:pPr>
      <w:r w:rsidRPr="00E40DCD">
        <w:rPr>
          <w:rFonts w:asciiTheme="minorHAnsi" w:hAnsiTheme="minorHAnsi" w:cstheme="minorHAnsi"/>
          <w:bCs/>
          <w:sz w:val="24"/>
          <w:szCs w:val="24"/>
          <w:lang w:eastAsia="pl-PL"/>
        </w:rPr>
        <w:t>BRUTTO..……………………………………….zł  (słownie ……………………………………..……………………………)</w:t>
      </w:r>
    </w:p>
    <w:p w14:paraId="3C190F05" w14:textId="77777777" w:rsidR="00893A4C" w:rsidRDefault="00893A4C" w:rsidP="00542156">
      <w:pPr>
        <w:spacing w:after="0" w:line="360" w:lineRule="auto"/>
        <w:rPr>
          <w:rFonts w:asciiTheme="minorHAnsi" w:hAnsiTheme="minorHAnsi" w:cstheme="minorHAnsi"/>
          <w:bCs/>
          <w:sz w:val="24"/>
          <w:szCs w:val="24"/>
          <w:lang w:eastAsia="pl-PL"/>
        </w:rPr>
      </w:pPr>
    </w:p>
    <w:p w14:paraId="09090ED7" w14:textId="2767F741" w:rsidR="00542156" w:rsidRDefault="00D50593" w:rsidP="00542156">
      <w:pPr>
        <w:spacing w:after="0" w:line="360" w:lineRule="auto"/>
        <w:rPr>
          <w:rFonts w:asciiTheme="minorHAnsi" w:hAnsiTheme="minorHAnsi" w:cstheme="minorHAnsi"/>
          <w:bCs/>
          <w:sz w:val="24"/>
          <w:szCs w:val="24"/>
          <w:lang w:eastAsia="pl-PL"/>
        </w:rPr>
      </w:pPr>
      <w:r>
        <w:rPr>
          <w:rFonts w:asciiTheme="minorHAnsi" w:hAnsiTheme="minorHAnsi" w:cstheme="minorHAnsi"/>
          <w:bCs/>
          <w:sz w:val="24"/>
          <w:szCs w:val="24"/>
          <w:lang w:eastAsia="pl-PL"/>
        </w:rPr>
        <w:t>WYKAZ CEN:</w:t>
      </w:r>
    </w:p>
    <w:tbl>
      <w:tblPr>
        <w:tblW w:w="9228"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97"/>
        <w:gridCol w:w="5282"/>
        <w:gridCol w:w="850"/>
        <w:gridCol w:w="1275"/>
        <w:gridCol w:w="1124"/>
      </w:tblGrid>
      <w:tr w:rsidR="00893A4C" w:rsidRPr="00893A4C" w14:paraId="03D8333B" w14:textId="77777777" w:rsidTr="004175F3">
        <w:trPr>
          <w:trHeight w:val="324"/>
        </w:trPr>
        <w:tc>
          <w:tcPr>
            <w:tcW w:w="697" w:type="dxa"/>
          </w:tcPr>
          <w:p w14:paraId="1480F523" w14:textId="77777777" w:rsidR="00893A4C" w:rsidRPr="00893A4C" w:rsidRDefault="00893A4C" w:rsidP="00893A4C">
            <w:pPr>
              <w:spacing w:after="160" w:line="259" w:lineRule="auto"/>
              <w:rPr>
                <w:rFonts w:asciiTheme="minorHAnsi" w:eastAsiaTheme="minorHAnsi" w:hAnsiTheme="minorHAnsi" w:cstheme="minorBidi"/>
                <w:b/>
                <w:bCs/>
                <w:kern w:val="2"/>
                <w14:ligatures w14:val="standardContextual"/>
              </w:rPr>
            </w:pPr>
            <w:r w:rsidRPr="00893A4C">
              <w:rPr>
                <w:rFonts w:asciiTheme="minorHAnsi" w:eastAsiaTheme="minorHAnsi" w:hAnsiTheme="minorHAnsi" w:cstheme="minorBidi"/>
                <w:b/>
                <w:bCs/>
                <w:kern w:val="2"/>
                <w14:ligatures w14:val="standardContextual"/>
              </w:rPr>
              <w:t>Lp.</w:t>
            </w:r>
          </w:p>
        </w:tc>
        <w:tc>
          <w:tcPr>
            <w:tcW w:w="5282" w:type="dxa"/>
          </w:tcPr>
          <w:p w14:paraId="3248F2E4" w14:textId="77777777" w:rsidR="00893A4C" w:rsidRPr="00893A4C" w:rsidRDefault="00893A4C" w:rsidP="00893A4C">
            <w:pPr>
              <w:spacing w:after="160" w:line="259" w:lineRule="auto"/>
              <w:ind w:left="-188" w:firstLine="188"/>
              <w:rPr>
                <w:rFonts w:ascii="Times New Roman" w:eastAsiaTheme="minorHAnsi" w:hAnsi="Times New Roman"/>
                <w:b/>
                <w:bCs/>
                <w:kern w:val="2"/>
                <w14:ligatures w14:val="standardContextual"/>
              </w:rPr>
            </w:pPr>
            <w:r w:rsidRPr="00893A4C">
              <w:rPr>
                <w:rFonts w:ascii="Times New Roman" w:eastAsiaTheme="minorHAnsi" w:hAnsi="Times New Roman"/>
                <w:b/>
                <w:bCs/>
                <w:kern w:val="2"/>
                <w14:ligatures w14:val="standardContextual"/>
              </w:rPr>
              <w:t>Opis</w:t>
            </w:r>
          </w:p>
        </w:tc>
        <w:tc>
          <w:tcPr>
            <w:tcW w:w="850" w:type="dxa"/>
          </w:tcPr>
          <w:p w14:paraId="339AF0FE" w14:textId="77777777" w:rsidR="00893A4C" w:rsidRPr="00893A4C" w:rsidRDefault="00893A4C" w:rsidP="00893A4C">
            <w:pPr>
              <w:spacing w:after="160" w:line="259" w:lineRule="auto"/>
              <w:rPr>
                <w:rFonts w:ascii="Times New Roman" w:eastAsiaTheme="minorHAnsi" w:hAnsi="Times New Roman"/>
                <w:b/>
                <w:bCs/>
                <w:kern w:val="2"/>
                <w14:ligatures w14:val="standardContextual"/>
              </w:rPr>
            </w:pPr>
            <w:r w:rsidRPr="00893A4C">
              <w:rPr>
                <w:rFonts w:ascii="Times New Roman" w:eastAsiaTheme="minorHAnsi" w:hAnsi="Times New Roman"/>
                <w:b/>
                <w:bCs/>
                <w:kern w:val="2"/>
                <w14:ligatures w14:val="standardContextual"/>
              </w:rPr>
              <w:t>Ilość</w:t>
            </w:r>
          </w:p>
        </w:tc>
        <w:tc>
          <w:tcPr>
            <w:tcW w:w="1275" w:type="dxa"/>
          </w:tcPr>
          <w:p w14:paraId="5A1C03C8" w14:textId="77777777" w:rsidR="00893A4C" w:rsidRPr="00893A4C" w:rsidRDefault="00893A4C" w:rsidP="00893A4C">
            <w:pPr>
              <w:spacing w:after="160" w:line="259" w:lineRule="auto"/>
              <w:ind w:left="225" w:right="-443" w:hanging="159"/>
              <w:rPr>
                <w:rFonts w:ascii="Times New Roman" w:eastAsiaTheme="minorHAnsi" w:hAnsi="Times New Roman"/>
                <w:b/>
                <w:bCs/>
                <w:kern w:val="2"/>
                <w14:ligatures w14:val="standardContextual"/>
              </w:rPr>
            </w:pPr>
            <w:r w:rsidRPr="00893A4C">
              <w:rPr>
                <w:rFonts w:ascii="Times New Roman" w:eastAsiaTheme="minorHAnsi" w:hAnsi="Times New Roman"/>
                <w:b/>
                <w:bCs/>
                <w:kern w:val="2"/>
                <w14:ligatures w14:val="standardContextual"/>
              </w:rPr>
              <w:t>Cena jedn.</w:t>
            </w:r>
          </w:p>
        </w:tc>
        <w:tc>
          <w:tcPr>
            <w:tcW w:w="1124" w:type="dxa"/>
          </w:tcPr>
          <w:p w14:paraId="7FCA02BE" w14:textId="77777777" w:rsidR="00893A4C" w:rsidRPr="00893A4C" w:rsidRDefault="00893A4C" w:rsidP="00893A4C">
            <w:pPr>
              <w:spacing w:after="160" w:line="259" w:lineRule="auto"/>
              <w:rPr>
                <w:rFonts w:ascii="Times New Roman" w:eastAsiaTheme="minorHAnsi" w:hAnsi="Times New Roman"/>
                <w:b/>
                <w:bCs/>
                <w:kern w:val="2"/>
                <w14:ligatures w14:val="standardContextual"/>
              </w:rPr>
            </w:pPr>
            <w:r w:rsidRPr="00893A4C">
              <w:rPr>
                <w:rFonts w:ascii="Times New Roman" w:eastAsiaTheme="minorHAnsi" w:hAnsi="Times New Roman"/>
                <w:b/>
                <w:bCs/>
                <w:kern w:val="2"/>
                <w14:ligatures w14:val="standardContextual"/>
              </w:rPr>
              <w:t xml:space="preserve">Wartość </w:t>
            </w:r>
          </w:p>
        </w:tc>
      </w:tr>
      <w:tr w:rsidR="00893A4C" w:rsidRPr="00893A4C" w14:paraId="52AF7748" w14:textId="77777777" w:rsidTr="004175F3">
        <w:trPr>
          <w:trHeight w:val="247"/>
        </w:trPr>
        <w:tc>
          <w:tcPr>
            <w:tcW w:w="9228" w:type="dxa"/>
            <w:gridSpan w:val="5"/>
          </w:tcPr>
          <w:p w14:paraId="183209D2" w14:textId="77777777" w:rsidR="00893A4C" w:rsidRPr="00893A4C" w:rsidRDefault="00893A4C" w:rsidP="00893A4C">
            <w:pPr>
              <w:spacing w:after="160" w:line="259" w:lineRule="auto"/>
              <w:jc w:val="both"/>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SZKOŁA PODSTAWOWA IM. POLSKICH MEDALISTÓW OLIMPIJSKICH W OJRZENIU</w:t>
            </w:r>
          </w:p>
        </w:tc>
      </w:tr>
      <w:tr w:rsidR="00893A4C" w:rsidRPr="00893A4C" w14:paraId="647598D2" w14:textId="77777777" w:rsidTr="004175F3">
        <w:trPr>
          <w:trHeight w:val="324"/>
        </w:trPr>
        <w:tc>
          <w:tcPr>
            <w:tcW w:w="697" w:type="dxa"/>
          </w:tcPr>
          <w:p w14:paraId="307FF5A0"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1</w:t>
            </w:r>
          </w:p>
        </w:tc>
        <w:tc>
          <w:tcPr>
            <w:tcW w:w="5282" w:type="dxa"/>
          </w:tcPr>
          <w:p w14:paraId="37FEC741" w14:textId="77777777" w:rsidR="00893A4C" w:rsidRPr="00893A4C" w:rsidRDefault="00893A4C" w:rsidP="00893A4C">
            <w:pPr>
              <w:spacing w:after="0" w:line="240" w:lineRule="auto"/>
              <w:jc w:val="both"/>
              <w:rPr>
                <w:rFonts w:ascii="Times New Roman" w:hAnsi="Times New Roman"/>
                <w:color w:val="000000"/>
                <w:lang w:eastAsia="pl-PL"/>
              </w:rPr>
            </w:pPr>
            <w:r w:rsidRPr="00893A4C">
              <w:rPr>
                <w:rFonts w:ascii="Times New Roman" w:hAnsi="Times New Roman"/>
                <w:color w:val="000000"/>
                <w:lang w:eastAsia="pl-PL"/>
              </w:rPr>
              <w:t>Duży zestaw materiałów logopedycznych obejmujący gry, karty i pomoce dydaktyczne wspierające terapię mowy, utrwalanie poprawnej wymowy głosek, ćwiczenia artykulacyjne, różnicowanie dźwięków, rozwój słownictwa oraz percepcji słuchowej i wzrokowej. Zestaw przechowywany w pojemniku.</w:t>
            </w:r>
          </w:p>
        </w:tc>
        <w:tc>
          <w:tcPr>
            <w:tcW w:w="850" w:type="dxa"/>
          </w:tcPr>
          <w:p w14:paraId="442ED112"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1</w:t>
            </w:r>
          </w:p>
        </w:tc>
        <w:tc>
          <w:tcPr>
            <w:tcW w:w="1275" w:type="dxa"/>
          </w:tcPr>
          <w:p w14:paraId="53176BD1"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44900751"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36427906" w14:textId="77777777" w:rsidTr="004175F3">
        <w:trPr>
          <w:trHeight w:val="324"/>
        </w:trPr>
        <w:tc>
          <w:tcPr>
            <w:tcW w:w="697" w:type="dxa"/>
          </w:tcPr>
          <w:p w14:paraId="0E74ADCC"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2</w:t>
            </w:r>
          </w:p>
        </w:tc>
        <w:tc>
          <w:tcPr>
            <w:tcW w:w="5282" w:type="dxa"/>
          </w:tcPr>
          <w:p w14:paraId="2D3C281A" w14:textId="77777777" w:rsidR="00893A4C" w:rsidRPr="00893A4C" w:rsidRDefault="00893A4C" w:rsidP="00893A4C">
            <w:pPr>
              <w:spacing w:after="0" w:line="240" w:lineRule="auto"/>
              <w:jc w:val="both"/>
              <w:rPr>
                <w:rFonts w:ascii="Times New Roman" w:hAnsi="Times New Roman"/>
                <w:color w:val="000000"/>
                <w:lang w:eastAsia="pl-PL"/>
              </w:rPr>
            </w:pPr>
            <w:r w:rsidRPr="00893A4C">
              <w:rPr>
                <w:rFonts w:ascii="Times New Roman" w:hAnsi="Times New Roman"/>
                <w:color w:val="000000"/>
                <w:lang w:eastAsia="pl-PL"/>
              </w:rPr>
              <w:t>Kącik wyciszeni – domek - Szafki w kształcie domków wykonane z płyty laminowanej w tonacji jasnego klonu oraz białej o grubości 18 mm oraz ze sklejki lakierowanej o grubości 18 mm. Tył szafek wykonany z płyty MDF o grubości 18 mm pokrytej trwałą okleiną termoplastyczną. Szafki mogą być uzupełniane dodatkowymi drzwiczkami małymi lub średnimi, sprzedawanymi osobno najlepiej w kolorze zielonym/</w:t>
            </w:r>
            <w:proofErr w:type="spellStart"/>
            <w:r w:rsidRPr="00893A4C">
              <w:rPr>
                <w:rFonts w:ascii="Times New Roman" w:hAnsi="Times New Roman"/>
                <w:color w:val="000000"/>
                <w:lang w:eastAsia="pl-PL"/>
              </w:rPr>
              <w:t>limonkowym</w:t>
            </w:r>
            <w:proofErr w:type="spellEnd"/>
            <w:r w:rsidRPr="00893A4C">
              <w:rPr>
                <w:rFonts w:ascii="Times New Roman" w:hAnsi="Times New Roman"/>
                <w:color w:val="000000"/>
                <w:lang w:eastAsia="pl-PL"/>
              </w:rPr>
              <w:t>. Wymiary  154,30 x 60 x 186 cm</w:t>
            </w:r>
          </w:p>
        </w:tc>
        <w:tc>
          <w:tcPr>
            <w:tcW w:w="850" w:type="dxa"/>
          </w:tcPr>
          <w:p w14:paraId="77DB41BD"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1</w:t>
            </w:r>
          </w:p>
        </w:tc>
        <w:tc>
          <w:tcPr>
            <w:tcW w:w="1275" w:type="dxa"/>
          </w:tcPr>
          <w:p w14:paraId="3175D6C3"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10BCCE49"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3F23CA2E" w14:textId="77777777" w:rsidTr="004175F3">
        <w:trPr>
          <w:trHeight w:val="324"/>
        </w:trPr>
        <w:tc>
          <w:tcPr>
            <w:tcW w:w="697" w:type="dxa"/>
          </w:tcPr>
          <w:p w14:paraId="2F299EFE"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3</w:t>
            </w:r>
          </w:p>
        </w:tc>
        <w:tc>
          <w:tcPr>
            <w:tcW w:w="5282" w:type="dxa"/>
          </w:tcPr>
          <w:p w14:paraId="6AC53882" w14:textId="77777777" w:rsidR="00893A4C" w:rsidRPr="00893A4C" w:rsidRDefault="00893A4C" w:rsidP="00893A4C">
            <w:pPr>
              <w:spacing w:after="0" w:line="240" w:lineRule="auto"/>
              <w:jc w:val="both"/>
              <w:rPr>
                <w:rFonts w:ascii="Times New Roman" w:hAnsi="Times New Roman"/>
                <w:color w:val="000000"/>
                <w:lang w:eastAsia="pl-PL"/>
              </w:rPr>
            </w:pPr>
            <w:r w:rsidRPr="00893A4C">
              <w:rPr>
                <w:rFonts w:ascii="Times New Roman" w:hAnsi="Times New Roman"/>
                <w:color w:val="000000"/>
                <w:lang w:eastAsia="pl-PL"/>
              </w:rPr>
              <w:t xml:space="preserve">Wyposażenie domku wyciszeni - zestaw trzech piłeczek antystresowych wykonanych z elastycznego materiału, wypełnionych miękką, sypką masą, zapewniającą efekt gniecenia i powrotu do pierwotnego kształtu. Produkt przeznaczony do celów relaksacyjnych, wspierających redukcję napięcia oraz stymulację sensoryczną. Materac przeznaczony jako element uzupełniający do zabudowy meblowej (Domku </w:t>
            </w:r>
            <w:proofErr w:type="spellStart"/>
            <w:r w:rsidRPr="00893A4C">
              <w:rPr>
                <w:rFonts w:ascii="Times New Roman" w:hAnsi="Times New Roman"/>
                <w:color w:val="000000"/>
                <w:lang w:eastAsia="pl-PL"/>
              </w:rPr>
              <w:t>wyciszeń</w:t>
            </w:r>
            <w:proofErr w:type="spellEnd"/>
            <w:r w:rsidRPr="00893A4C">
              <w:rPr>
                <w:rFonts w:ascii="Times New Roman" w:hAnsi="Times New Roman"/>
                <w:color w:val="000000"/>
                <w:lang w:eastAsia="pl-PL"/>
              </w:rPr>
              <w:t xml:space="preserve">), wykonany z pianki, pokryty trwałą, łatwą do utrzymania w czystości tkaniną, niezawierającą </w:t>
            </w:r>
            <w:proofErr w:type="spellStart"/>
            <w:r w:rsidRPr="00893A4C">
              <w:rPr>
                <w:rFonts w:ascii="Times New Roman" w:hAnsi="Times New Roman"/>
                <w:color w:val="000000"/>
                <w:lang w:eastAsia="pl-PL"/>
              </w:rPr>
              <w:t>ftalanów</w:t>
            </w:r>
            <w:proofErr w:type="spellEnd"/>
            <w:r w:rsidRPr="00893A4C">
              <w:rPr>
                <w:rFonts w:ascii="Times New Roman" w:hAnsi="Times New Roman"/>
                <w:color w:val="000000"/>
                <w:lang w:eastAsia="pl-PL"/>
              </w:rPr>
              <w:t xml:space="preserve">. Produkt dostępny w różnych wariantach kolorystycznych. Wymiary: 113 × 55,5 × 14 cm. </w:t>
            </w:r>
            <w:r w:rsidRPr="00893A4C">
              <w:rPr>
                <w:rFonts w:ascii="Times New Roman" w:eastAsiaTheme="minorHAnsi" w:hAnsi="Times New Roman"/>
                <w:kern w:val="2"/>
                <w14:ligatures w14:val="standardContextual"/>
              </w:rPr>
              <w:t xml:space="preserve">Obciążeniowy Żółw 2w1. Miękki i przytulny żółw obciążeniowy składający się z dwóch części – korpusu i skorupy po 1 kg każda, łącznie 2 kg. Zapewnia kojące dociążenie, wspiera relaks i koncentrację. Idealny do przytulania, na kolana, ramiona lub klatkę piersiową. Pomaga w regulacji emocji, rozwoju sensorycznym i motoryce precyzyjnej. </w:t>
            </w:r>
            <w:r w:rsidRPr="00893A4C">
              <w:rPr>
                <w:rFonts w:ascii="Times New Roman" w:hAnsi="Times New Roman"/>
                <w:color w:val="000000"/>
                <w:lang w:eastAsia="pl-PL"/>
              </w:rPr>
              <w:t xml:space="preserve">Sensoryczne klepsydry – Trio. Zestaw trzech sensorycznych tub o wysokości 13 cm, idealnych dla małych rączek. Podczas zabawy dzieci wsłuchują się w dźwięki spadających koralików, obserwują wirujący brokat i uśmiechnięte buźki, a także </w:t>
            </w:r>
            <w:r w:rsidRPr="00893A4C">
              <w:rPr>
                <w:rFonts w:ascii="Times New Roman" w:hAnsi="Times New Roman"/>
                <w:color w:val="000000"/>
                <w:lang w:eastAsia="pl-PL"/>
              </w:rPr>
              <w:lastRenderedPageBreak/>
              <w:t xml:space="preserve">odczuwają kojący ciężar opadającego piasku. Solidne, trwałe i łatwe w czyszczeniu, wspierają rozwój umiejętności sensorycznych w domu, w klasie i w podróży. </w:t>
            </w:r>
            <w:r w:rsidRPr="00893A4C">
              <w:rPr>
                <w:rFonts w:ascii="Times New Roman" w:eastAsiaTheme="minorHAnsi" w:hAnsi="Times New Roman"/>
                <w:kern w:val="2"/>
                <w14:ligatures w14:val="standardContextual"/>
              </w:rPr>
              <w:t>Kołdra obciążeniowa sensoryczna dla dzieci 90×120 cm. Kołdra obciążeniowa wspiera terapię integracji sensorycznej i codzienne funkcjonowanie dzieci z ADHD, spektrum autyzmu, Zespołem Aspergera, Zespołem Downa. Stymuluje czucie głębokie (</w:t>
            </w:r>
            <w:proofErr w:type="spellStart"/>
            <w:r w:rsidRPr="00893A4C">
              <w:rPr>
                <w:rFonts w:ascii="Times New Roman" w:eastAsiaTheme="minorHAnsi" w:hAnsi="Times New Roman"/>
                <w:kern w:val="2"/>
                <w14:ligatures w14:val="standardContextual"/>
              </w:rPr>
              <w:t>propriocepcję</w:t>
            </w:r>
            <w:proofErr w:type="spellEnd"/>
            <w:r w:rsidRPr="00893A4C">
              <w:rPr>
                <w:rFonts w:ascii="Times New Roman" w:eastAsiaTheme="minorHAnsi" w:hAnsi="Times New Roman"/>
                <w:kern w:val="2"/>
                <w14:ligatures w14:val="standardContextual"/>
              </w:rPr>
              <w:t>), pomaga w samoregulacji, poprawia koncentrację, wspomaga relaksację. To skuteczne narzędzie terapeutyczne wspierające rozwój układu nerwowego.</w:t>
            </w:r>
          </w:p>
        </w:tc>
        <w:tc>
          <w:tcPr>
            <w:tcW w:w="850" w:type="dxa"/>
          </w:tcPr>
          <w:p w14:paraId="2B15C2F2"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lastRenderedPageBreak/>
              <w:t>1</w:t>
            </w:r>
          </w:p>
        </w:tc>
        <w:tc>
          <w:tcPr>
            <w:tcW w:w="1275" w:type="dxa"/>
          </w:tcPr>
          <w:p w14:paraId="7CE49128"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67A1A42A"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112C8F0E" w14:textId="77777777" w:rsidTr="004175F3">
        <w:trPr>
          <w:trHeight w:val="324"/>
        </w:trPr>
        <w:tc>
          <w:tcPr>
            <w:tcW w:w="697" w:type="dxa"/>
          </w:tcPr>
          <w:p w14:paraId="5B102844"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4</w:t>
            </w:r>
          </w:p>
        </w:tc>
        <w:tc>
          <w:tcPr>
            <w:tcW w:w="5282" w:type="dxa"/>
          </w:tcPr>
          <w:p w14:paraId="15E5A594" w14:textId="77777777" w:rsidR="00893A4C" w:rsidRPr="00893A4C" w:rsidRDefault="00893A4C" w:rsidP="00893A4C">
            <w:pPr>
              <w:spacing w:after="0" w:line="240" w:lineRule="auto"/>
              <w:jc w:val="both"/>
              <w:rPr>
                <w:rFonts w:ascii="Times New Roman" w:hAnsi="Times New Roman"/>
                <w:color w:val="000000"/>
                <w:lang w:eastAsia="pl-PL"/>
              </w:rPr>
            </w:pPr>
            <w:r w:rsidRPr="00893A4C">
              <w:rPr>
                <w:rFonts w:ascii="Times New Roman" w:hAnsi="Times New Roman"/>
                <w:color w:val="000000"/>
                <w:lang w:eastAsia="pl-PL"/>
              </w:rPr>
              <w:t>Ścieżka sensoryczna – sensoryczne płytki z cieczą 30 cm, 6 szt. + karty pracy. Zestaw 6 sensorycznych płytek z kolorową cieczą, idealny do tworzenia ścieżek sensorycznych i stymulowania zmysłów wzroku oraz dotyku. Płytki reagują na nacisk, tworząc unikalne wzory i angażując dzieci do eksploracji otoczenia rękoma lub stopami. Pomagają w treningu równowagi, koordynacji i prawidłowej postury, wspierają rozwój zwinności oraz czynności motorycznych, takich jak jazda na rowerze. Doskonałe również do pracy z dziećmi w spektrum autyzmu i nadpobudliwymi – ułatwiają wyciszenie, regulację emocji i organizację bodźców zewnętrznych.</w:t>
            </w:r>
          </w:p>
        </w:tc>
        <w:tc>
          <w:tcPr>
            <w:tcW w:w="850" w:type="dxa"/>
          </w:tcPr>
          <w:p w14:paraId="260DCF52"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3</w:t>
            </w:r>
          </w:p>
        </w:tc>
        <w:tc>
          <w:tcPr>
            <w:tcW w:w="1275" w:type="dxa"/>
          </w:tcPr>
          <w:p w14:paraId="7AD74B3C"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306E43D2"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7FD676EB" w14:textId="77777777" w:rsidTr="004175F3">
        <w:trPr>
          <w:trHeight w:val="324"/>
        </w:trPr>
        <w:tc>
          <w:tcPr>
            <w:tcW w:w="697" w:type="dxa"/>
          </w:tcPr>
          <w:p w14:paraId="7578D5AA"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5</w:t>
            </w:r>
          </w:p>
        </w:tc>
        <w:tc>
          <w:tcPr>
            <w:tcW w:w="5282" w:type="dxa"/>
          </w:tcPr>
          <w:p w14:paraId="37A9C2D6" w14:textId="77777777" w:rsidR="00893A4C" w:rsidRPr="00893A4C" w:rsidRDefault="00893A4C" w:rsidP="00893A4C">
            <w:pPr>
              <w:spacing w:after="0" w:line="240" w:lineRule="auto"/>
              <w:jc w:val="both"/>
              <w:rPr>
                <w:rFonts w:ascii="Times New Roman" w:hAnsi="Times New Roman"/>
                <w:color w:val="000000"/>
                <w:lang w:eastAsia="pl-PL"/>
              </w:rPr>
            </w:pPr>
            <w:r w:rsidRPr="00893A4C">
              <w:rPr>
                <w:rFonts w:ascii="Times New Roman" w:hAnsi="Times New Roman"/>
                <w:color w:val="000000"/>
                <w:lang w:eastAsia="pl-PL"/>
              </w:rPr>
              <w:t>Zamykane lustro logopedyczne – Tryptyk. Lustro logopedyczne Tryptyk to niezbędne wyposażenie gabinetu terapeutycznego, idealne do ćwiczeń logopedycznych. Składa się z części głównej o wymiarach 56 × 49 cm oraz dwóch skrzydeł po 27,5 × 49 cm każde. Rama wykonana jest ze starannie lakierowanej sklejki, a lustro podklejone bezpieczną folią chroniącą przed rozsypaniem się szkła w razie stłuczenia. Wyposażone w praktyczny uchwyt ułatwiający przenoszenie.</w:t>
            </w:r>
          </w:p>
        </w:tc>
        <w:tc>
          <w:tcPr>
            <w:tcW w:w="850" w:type="dxa"/>
          </w:tcPr>
          <w:p w14:paraId="06A44AC3"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1</w:t>
            </w:r>
          </w:p>
        </w:tc>
        <w:tc>
          <w:tcPr>
            <w:tcW w:w="1275" w:type="dxa"/>
          </w:tcPr>
          <w:p w14:paraId="67D4C519"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689A3B01"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7F43C974" w14:textId="77777777" w:rsidTr="004175F3">
        <w:trPr>
          <w:trHeight w:val="324"/>
        </w:trPr>
        <w:tc>
          <w:tcPr>
            <w:tcW w:w="697" w:type="dxa"/>
          </w:tcPr>
          <w:p w14:paraId="619D023D"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6</w:t>
            </w:r>
          </w:p>
        </w:tc>
        <w:tc>
          <w:tcPr>
            <w:tcW w:w="5282" w:type="dxa"/>
          </w:tcPr>
          <w:p w14:paraId="5F6BDB83" w14:textId="77777777" w:rsidR="00893A4C" w:rsidRPr="00893A4C" w:rsidRDefault="00893A4C" w:rsidP="00893A4C">
            <w:pPr>
              <w:spacing w:after="0" w:line="240" w:lineRule="auto"/>
              <w:jc w:val="both"/>
              <w:rPr>
                <w:rFonts w:ascii="Times New Roman" w:hAnsi="Times New Roman"/>
                <w:color w:val="000000" w:themeColor="text1"/>
                <w:lang w:eastAsia="pl-PL"/>
              </w:rPr>
            </w:pPr>
            <w:r w:rsidRPr="00893A4C">
              <w:rPr>
                <w:rFonts w:ascii="Times New Roman" w:hAnsi="Times New Roman"/>
                <w:color w:val="000000" w:themeColor="text1"/>
                <w:lang w:eastAsia="pl-PL"/>
              </w:rPr>
              <w:t xml:space="preserve">Karty terapeutyczne do zajęć rewalidacyjnych Zajęcia rewalidacyjne – karty pracy dla klasy 1-3 szkoły podstawowej Jolanta Pańczyk. Pomoc dydaktyczna wspierająca wyrównywanie różnic rozwojowych uczniów w zakresie spostrzegania, pamięci, </w:t>
            </w:r>
            <w:proofErr w:type="spellStart"/>
            <w:r w:rsidRPr="00893A4C">
              <w:rPr>
                <w:rFonts w:ascii="Times New Roman" w:hAnsi="Times New Roman"/>
                <w:color w:val="000000" w:themeColor="text1"/>
                <w:lang w:eastAsia="pl-PL"/>
              </w:rPr>
              <w:t>grafomotoryki</w:t>
            </w:r>
            <w:proofErr w:type="spellEnd"/>
            <w:r w:rsidRPr="00893A4C">
              <w:rPr>
                <w:rFonts w:ascii="Times New Roman" w:hAnsi="Times New Roman"/>
                <w:color w:val="000000" w:themeColor="text1"/>
                <w:lang w:eastAsia="pl-PL"/>
              </w:rPr>
              <w:t xml:space="preserve"> i logicznego myślenia. Zadania na kartach pracy rozwijają motorykę ręki, koordynację wzrokowo-ruchową oraz spostrzegawczość, wspomagając proces edukacyjny uczniów najmłodszych klas szkoły podstawowej.</w:t>
            </w:r>
          </w:p>
          <w:p w14:paraId="47D12C5F" w14:textId="77777777" w:rsidR="00893A4C" w:rsidRPr="00893A4C" w:rsidRDefault="00893A4C" w:rsidP="00893A4C">
            <w:pPr>
              <w:spacing w:after="0" w:line="240" w:lineRule="auto"/>
              <w:jc w:val="both"/>
              <w:rPr>
                <w:rFonts w:ascii="Times New Roman" w:hAnsi="Times New Roman"/>
                <w:color w:val="000000" w:themeColor="text1"/>
                <w:lang w:eastAsia="pl-PL"/>
              </w:rPr>
            </w:pPr>
            <w:r w:rsidRPr="00893A4C">
              <w:rPr>
                <w:rFonts w:ascii="Times New Roman" w:hAnsi="Times New Roman"/>
                <w:color w:val="000000" w:themeColor="text1"/>
                <w:lang w:eastAsia="pl-PL"/>
              </w:rPr>
              <w:t xml:space="preserve">Zajęcia rewalidacyjne – karty pracy dla klasy 4-6 szkoły podstawowej Jolanta Pańczyk. Pomoc dydaktyczna wspierająca wyrównywanie różnic rozwojowych uczniów w zakresie spostrzegania, pamięci, </w:t>
            </w:r>
            <w:proofErr w:type="spellStart"/>
            <w:r w:rsidRPr="00893A4C">
              <w:rPr>
                <w:rFonts w:ascii="Times New Roman" w:hAnsi="Times New Roman"/>
                <w:color w:val="000000" w:themeColor="text1"/>
                <w:lang w:eastAsia="pl-PL"/>
              </w:rPr>
              <w:t>grafomotoryki</w:t>
            </w:r>
            <w:proofErr w:type="spellEnd"/>
            <w:r w:rsidRPr="00893A4C">
              <w:rPr>
                <w:rFonts w:ascii="Times New Roman" w:hAnsi="Times New Roman"/>
                <w:color w:val="000000" w:themeColor="text1"/>
                <w:lang w:eastAsia="pl-PL"/>
              </w:rPr>
              <w:t xml:space="preserve"> i logicznego myślenia. Zadania na kartach pracy rozwijają motorykę ręki, koordynację wzrokowo-ruchową oraz spostrzegawczość, wspomagając proces edukacyjny uczniów.</w:t>
            </w:r>
          </w:p>
          <w:p w14:paraId="3EA0150C" w14:textId="77777777" w:rsidR="00893A4C" w:rsidRPr="00893A4C" w:rsidRDefault="00893A4C" w:rsidP="00893A4C">
            <w:pPr>
              <w:spacing w:after="160" w:line="259" w:lineRule="auto"/>
              <w:jc w:val="both"/>
              <w:rPr>
                <w:rFonts w:ascii="Times New Roman" w:eastAsiaTheme="minorHAnsi" w:hAnsi="Times New Roman"/>
                <w:color w:val="000000" w:themeColor="text1"/>
                <w:kern w:val="2"/>
                <w14:ligatures w14:val="standardContextual"/>
              </w:rPr>
            </w:pPr>
            <w:r w:rsidRPr="00893A4C">
              <w:rPr>
                <w:rFonts w:ascii="Times New Roman" w:eastAsiaTheme="minorHAnsi" w:hAnsi="Times New Roman"/>
                <w:color w:val="000000" w:themeColor="text1"/>
                <w:kern w:val="2"/>
                <w14:ligatures w14:val="standardContextual"/>
              </w:rPr>
              <w:t xml:space="preserve">Zajęcia rewalidacyjne – karty pracy dla klasy 7-8 szkoły podstawowej Jolanta Pańczyk. Pomoc dydaktyczna wspierająca wyrównywanie różnic rozwojowych uczniów w zakresie spostrzegania, pamięci, </w:t>
            </w:r>
            <w:proofErr w:type="spellStart"/>
            <w:r w:rsidRPr="00893A4C">
              <w:rPr>
                <w:rFonts w:ascii="Times New Roman" w:eastAsiaTheme="minorHAnsi" w:hAnsi="Times New Roman"/>
                <w:color w:val="000000" w:themeColor="text1"/>
                <w:kern w:val="2"/>
                <w14:ligatures w14:val="standardContextual"/>
              </w:rPr>
              <w:t>grafomotoryki</w:t>
            </w:r>
            <w:proofErr w:type="spellEnd"/>
            <w:r w:rsidRPr="00893A4C">
              <w:rPr>
                <w:rFonts w:ascii="Times New Roman" w:eastAsiaTheme="minorHAnsi" w:hAnsi="Times New Roman"/>
                <w:color w:val="000000" w:themeColor="text1"/>
                <w:kern w:val="2"/>
                <w14:ligatures w14:val="standardContextual"/>
              </w:rPr>
              <w:t xml:space="preserve"> i logicznego myślenia. Zadania na kartach pracy rozwijają koordynację wzrokowo-ruchową, motorykę ręki oraz </w:t>
            </w:r>
            <w:r w:rsidRPr="00893A4C">
              <w:rPr>
                <w:rFonts w:ascii="Times New Roman" w:eastAsiaTheme="minorHAnsi" w:hAnsi="Times New Roman"/>
                <w:color w:val="000000" w:themeColor="text1"/>
                <w:kern w:val="2"/>
                <w14:ligatures w14:val="standardContextual"/>
              </w:rPr>
              <w:lastRenderedPageBreak/>
              <w:t>spostrzegawczość, wspomagając proces edukacyjny uczniów.</w:t>
            </w:r>
          </w:p>
        </w:tc>
        <w:tc>
          <w:tcPr>
            <w:tcW w:w="850" w:type="dxa"/>
          </w:tcPr>
          <w:p w14:paraId="1E5453B7"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lastRenderedPageBreak/>
              <w:t>3</w:t>
            </w:r>
          </w:p>
        </w:tc>
        <w:tc>
          <w:tcPr>
            <w:tcW w:w="1275" w:type="dxa"/>
          </w:tcPr>
          <w:p w14:paraId="241C4B9B"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6C8D2EA8"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0B68BE1F" w14:textId="77777777" w:rsidTr="004175F3">
        <w:trPr>
          <w:trHeight w:val="324"/>
        </w:trPr>
        <w:tc>
          <w:tcPr>
            <w:tcW w:w="697" w:type="dxa"/>
          </w:tcPr>
          <w:p w14:paraId="66947308"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7</w:t>
            </w:r>
          </w:p>
        </w:tc>
        <w:tc>
          <w:tcPr>
            <w:tcW w:w="5282" w:type="dxa"/>
          </w:tcPr>
          <w:p w14:paraId="680DD88A" w14:textId="77777777" w:rsidR="00893A4C" w:rsidRPr="00893A4C" w:rsidRDefault="00893A4C" w:rsidP="00893A4C">
            <w:pPr>
              <w:spacing w:after="160" w:line="278" w:lineRule="auto"/>
              <w:jc w:val="both"/>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Tło/kurtyna do przedstawień teatralnych – scena. Duże tło z tkaniny z nadrukiem, przeznaczone do szkolnych przedstawień i dekoracji sali. Zestaw składa się z 3 paneli o wymiarach 150 × 300 cm. Zestaw z mocowaniami, wspornikami i linką stalową do kurtyn (617005,617006, sprzedawane osobno) lub zasłon. Do zamontowania do ściany lub sufitu. Można łatwo przyciąć na żądaną długość. W komplecie 3 wsporniki. • dł. 500 cm</w:t>
            </w:r>
          </w:p>
        </w:tc>
        <w:tc>
          <w:tcPr>
            <w:tcW w:w="850" w:type="dxa"/>
          </w:tcPr>
          <w:p w14:paraId="76390FC7"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1</w:t>
            </w:r>
          </w:p>
        </w:tc>
        <w:tc>
          <w:tcPr>
            <w:tcW w:w="1275" w:type="dxa"/>
          </w:tcPr>
          <w:p w14:paraId="061F49D8"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7960A361"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049B5E7F" w14:textId="77777777" w:rsidTr="004175F3">
        <w:trPr>
          <w:trHeight w:val="324"/>
        </w:trPr>
        <w:tc>
          <w:tcPr>
            <w:tcW w:w="697" w:type="dxa"/>
          </w:tcPr>
          <w:p w14:paraId="4C5264BB"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8</w:t>
            </w:r>
          </w:p>
        </w:tc>
        <w:tc>
          <w:tcPr>
            <w:tcW w:w="5282" w:type="dxa"/>
          </w:tcPr>
          <w:p w14:paraId="0FEF3FFD" w14:textId="77777777" w:rsidR="00893A4C" w:rsidRPr="00893A4C" w:rsidRDefault="00893A4C" w:rsidP="00893A4C">
            <w:pPr>
              <w:spacing w:after="160" w:line="278" w:lineRule="auto"/>
              <w:jc w:val="both"/>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Zestaw 14 pacynek miękkich w torbie. Zestaw zawiera 14 kolorowych, bajkowych pacynek wykonanych z miękkiej tkaniny, weluru i pluszu, umieszczonych w torbie z uchwytami i gumkami, które utrzymują pacynki na miejscu i ułatwiają przenoszenie. Wysokość pacynek: 18–25 cm, waga całkowita: 1,10 kg. Torba: 64 x 47 cm (zamknięta), 64 x 94 cm (otwarta).</w:t>
            </w:r>
          </w:p>
        </w:tc>
        <w:tc>
          <w:tcPr>
            <w:tcW w:w="850" w:type="dxa"/>
          </w:tcPr>
          <w:p w14:paraId="68768F85"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1</w:t>
            </w:r>
          </w:p>
        </w:tc>
        <w:tc>
          <w:tcPr>
            <w:tcW w:w="1275" w:type="dxa"/>
          </w:tcPr>
          <w:p w14:paraId="276CCD84"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1414FF85"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3126250D" w14:textId="77777777" w:rsidTr="004175F3">
        <w:trPr>
          <w:trHeight w:val="324"/>
        </w:trPr>
        <w:tc>
          <w:tcPr>
            <w:tcW w:w="697" w:type="dxa"/>
          </w:tcPr>
          <w:p w14:paraId="5784E50F"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9</w:t>
            </w:r>
          </w:p>
        </w:tc>
        <w:tc>
          <w:tcPr>
            <w:tcW w:w="5282" w:type="dxa"/>
          </w:tcPr>
          <w:p w14:paraId="20544FC3" w14:textId="77777777" w:rsidR="00893A4C" w:rsidRPr="00893A4C" w:rsidRDefault="00893A4C" w:rsidP="00893A4C">
            <w:pPr>
              <w:spacing w:after="160" w:line="278" w:lineRule="auto"/>
              <w:jc w:val="both"/>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Stojak na tło regulowany 305x243 cm, czarny. Regulowany stojak do zawieszania teł o szerokości 175–305 cm i wysokości 100–243 cm. Wykonany ze stali, stabilny i wytrzymały, maksymalne obciążenie 8 kg. W zestawie torba transportowa. Produkt przeznaczony do sesji fotograficznych, wystaw, dekoracji i innych zastosowań wymagających solidnego podparcia tła.</w:t>
            </w:r>
          </w:p>
        </w:tc>
        <w:tc>
          <w:tcPr>
            <w:tcW w:w="850" w:type="dxa"/>
          </w:tcPr>
          <w:p w14:paraId="5D84A11D"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1</w:t>
            </w:r>
          </w:p>
        </w:tc>
        <w:tc>
          <w:tcPr>
            <w:tcW w:w="1275" w:type="dxa"/>
          </w:tcPr>
          <w:p w14:paraId="4425B4FE"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759D5DD8"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3F94CC87" w14:textId="77777777" w:rsidTr="004175F3">
        <w:trPr>
          <w:trHeight w:val="324"/>
        </w:trPr>
        <w:tc>
          <w:tcPr>
            <w:tcW w:w="697" w:type="dxa"/>
          </w:tcPr>
          <w:p w14:paraId="1F6827AF"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10</w:t>
            </w:r>
          </w:p>
        </w:tc>
        <w:tc>
          <w:tcPr>
            <w:tcW w:w="5282" w:type="dxa"/>
          </w:tcPr>
          <w:p w14:paraId="79C734BF" w14:textId="77777777" w:rsidR="00893A4C" w:rsidRPr="00893A4C" w:rsidRDefault="00893A4C" w:rsidP="00893A4C">
            <w:pPr>
              <w:spacing w:after="160" w:line="278" w:lineRule="auto"/>
              <w:jc w:val="both"/>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Układanka „Czyj to cień?” to gra edukacyjna dla dzieci od 4. roku życia, wspierająca rozwój spostrzegawczości, pamięci oraz umiejętności rozróżniania kształtów graficznych. Gra umożliwia różnorodne formy zabawy, w tym trzy warianty rozgrywki opisane w instrukcji, odpowiednie do zabawy indywidualnej lub w parach. Zawartość: 48 kafelków Instrukcja</w:t>
            </w:r>
          </w:p>
        </w:tc>
        <w:tc>
          <w:tcPr>
            <w:tcW w:w="850" w:type="dxa"/>
          </w:tcPr>
          <w:p w14:paraId="6A3F6ADC"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2</w:t>
            </w:r>
          </w:p>
        </w:tc>
        <w:tc>
          <w:tcPr>
            <w:tcW w:w="1275" w:type="dxa"/>
          </w:tcPr>
          <w:p w14:paraId="1DF37448"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1FC0B963"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1C0A6E31" w14:textId="77777777" w:rsidTr="004175F3">
        <w:trPr>
          <w:trHeight w:val="324"/>
        </w:trPr>
        <w:tc>
          <w:tcPr>
            <w:tcW w:w="697" w:type="dxa"/>
          </w:tcPr>
          <w:p w14:paraId="4A772E69"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11</w:t>
            </w:r>
          </w:p>
        </w:tc>
        <w:tc>
          <w:tcPr>
            <w:tcW w:w="5282" w:type="dxa"/>
          </w:tcPr>
          <w:p w14:paraId="593C440A" w14:textId="77777777" w:rsidR="00893A4C" w:rsidRPr="00893A4C" w:rsidRDefault="00893A4C" w:rsidP="00893A4C">
            <w:pPr>
              <w:spacing w:after="160" w:line="278" w:lineRule="auto"/>
              <w:jc w:val="both"/>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Zestaw gier „Ale Pary” składa się z 10 wariantów gry pamięciowej, które wspierają rozwój spostrzegawczości, koncentracji, refleksu oraz poznawanie otaczającego świata przez dzieci. Gry polegają na odnajdywaniu pasujących par obrazków, przy czym elementy mogą różnić się wielkością lub szczegółami, co zwiększa poziom trudności i atrakcyjność rozgrywki.</w:t>
            </w:r>
            <w:r w:rsidRPr="00893A4C">
              <w:rPr>
                <w:rFonts w:ascii="Times New Roman" w:eastAsiaTheme="minorHAnsi" w:hAnsi="Times New Roman"/>
                <w:kern w:val="2"/>
                <w14:ligatures w14:val="standardContextual"/>
              </w:rPr>
              <w:br/>
              <w:t xml:space="preserve">Zawartość zestawu: Ale Pary – Emocje, Ale Pary – Misz Masz, Ale Pary – Znaki drogowe, Ale Pary – Gospodarstwo, Ale Pary – W lesie, Ale Pary – </w:t>
            </w:r>
            <w:proofErr w:type="spellStart"/>
            <w:r w:rsidRPr="00893A4C">
              <w:rPr>
                <w:rFonts w:ascii="Times New Roman" w:eastAsiaTheme="minorHAnsi" w:hAnsi="Times New Roman"/>
                <w:kern w:val="2"/>
                <w14:ligatures w14:val="standardContextual"/>
              </w:rPr>
              <w:t>Słodziaki</w:t>
            </w:r>
            <w:proofErr w:type="spellEnd"/>
            <w:r w:rsidRPr="00893A4C">
              <w:rPr>
                <w:rFonts w:ascii="Times New Roman" w:eastAsiaTheme="minorHAnsi" w:hAnsi="Times New Roman"/>
                <w:kern w:val="2"/>
                <w14:ligatures w14:val="standardContextual"/>
              </w:rPr>
              <w:t>, Ale Pary – Jedzonko, Ale Pary – Na alarm, Ale Pary – Figury i bryły, Ale Pary – Zwierzątka. Gry są przeznaczone dla dzieci w wieku przedszkolnym i wczesnoszkolnym. Mogą być wykorzystywane w domu, w szkołach, przedszkolach oraz w placówkach edukacyjno-terapeutycznych.</w:t>
            </w:r>
          </w:p>
        </w:tc>
        <w:tc>
          <w:tcPr>
            <w:tcW w:w="850" w:type="dxa"/>
          </w:tcPr>
          <w:p w14:paraId="780B21ED"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10</w:t>
            </w:r>
          </w:p>
        </w:tc>
        <w:tc>
          <w:tcPr>
            <w:tcW w:w="1275" w:type="dxa"/>
          </w:tcPr>
          <w:p w14:paraId="5E216952"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42D2621B"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03EB7B79" w14:textId="77777777" w:rsidTr="004175F3">
        <w:trPr>
          <w:trHeight w:val="324"/>
        </w:trPr>
        <w:tc>
          <w:tcPr>
            <w:tcW w:w="697" w:type="dxa"/>
          </w:tcPr>
          <w:p w14:paraId="5732131C"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lastRenderedPageBreak/>
              <w:t>12</w:t>
            </w:r>
          </w:p>
        </w:tc>
        <w:tc>
          <w:tcPr>
            <w:tcW w:w="5282" w:type="dxa"/>
          </w:tcPr>
          <w:p w14:paraId="3713F3B0" w14:textId="77777777" w:rsidR="00893A4C" w:rsidRPr="00893A4C" w:rsidRDefault="00893A4C" w:rsidP="00893A4C">
            <w:pPr>
              <w:spacing w:after="160" w:line="278" w:lineRule="auto"/>
              <w:jc w:val="both"/>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 xml:space="preserve">Gra planszowa „Emocje Odkryj Siebie” wspiera rozwój kompetencji emocjonalnych i społecznych dzieci oraz umożliwia prowadzenie rozmów o uczuciach w rodzinie. Gra pomaga w rozpoznawaniu, nazywaniu i rozumieniu własnych emocji oraz emocji innych osób, wspierając empatię, samoświadomość i umiejętności komunikacyjne. Zawartość zestawu: plansza składająca się z puzzli, 102 karty z zadaniami, 16 okrągłych żetonów, duża kostka do gry, pionki dla wszystkich </w:t>
            </w:r>
            <w:proofErr w:type="spellStart"/>
            <w:r w:rsidRPr="00893A4C">
              <w:rPr>
                <w:rFonts w:ascii="Times New Roman" w:eastAsiaTheme="minorHAnsi" w:hAnsi="Times New Roman"/>
                <w:kern w:val="2"/>
                <w14:ligatures w14:val="standardContextual"/>
              </w:rPr>
              <w:t>graczyinstrukcja</w:t>
            </w:r>
            <w:proofErr w:type="spellEnd"/>
            <w:r w:rsidRPr="00893A4C">
              <w:rPr>
                <w:rFonts w:ascii="Times New Roman" w:eastAsiaTheme="minorHAnsi" w:hAnsi="Times New Roman"/>
                <w:kern w:val="2"/>
                <w14:ligatures w14:val="standardContextual"/>
              </w:rPr>
              <w:t xml:space="preserve"> obsługi. Gra może być wykorzystywana w domu, szkołach, placówkach edukacyjnych i terapeutycznych jako narzędzie do nauki emocji, rozwijania kompetencji społecznych oraz prowadzenia aktywnych zajęć edukacyjnych i integracyjnych.</w:t>
            </w:r>
          </w:p>
        </w:tc>
        <w:tc>
          <w:tcPr>
            <w:tcW w:w="850" w:type="dxa"/>
          </w:tcPr>
          <w:p w14:paraId="13786A9A"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2</w:t>
            </w:r>
          </w:p>
        </w:tc>
        <w:tc>
          <w:tcPr>
            <w:tcW w:w="1275" w:type="dxa"/>
          </w:tcPr>
          <w:p w14:paraId="0D9E4A40"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0C93247D"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39AC9187" w14:textId="77777777" w:rsidTr="004175F3">
        <w:trPr>
          <w:trHeight w:val="324"/>
        </w:trPr>
        <w:tc>
          <w:tcPr>
            <w:tcW w:w="697" w:type="dxa"/>
          </w:tcPr>
          <w:p w14:paraId="7BEC7CF0"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13</w:t>
            </w:r>
          </w:p>
        </w:tc>
        <w:tc>
          <w:tcPr>
            <w:tcW w:w="5282" w:type="dxa"/>
          </w:tcPr>
          <w:p w14:paraId="3A81F4EE" w14:textId="77777777" w:rsidR="00893A4C" w:rsidRPr="00893A4C" w:rsidRDefault="00893A4C" w:rsidP="00893A4C">
            <w:pPr>
              <w:spacing w:after="160" w:line="278" w:lineRule="auto"/>
              <w:jc w:val="both"/>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Gra zręcznościowa „Sprytna Ośmiornica” rozwija koordynację ruchową, sprawność manualną i koncentrację. Uczestnicy układają kolorowe kubeczki zgodnie ze wzorami przedstawionymi na kartach, używając specjalnych macek zakładanych na palce. Zabawa wymaga precyzji, zręczności i szybkości działania. Zawartość zestawu: 18 kubeczków w 6 kolorach (po 3 sztuki każdego koloru: żółty, pomarańczowy, zielony, granatowy, niebieski, czerwony) 9 macek ośmiornicy 27 kart z wzorami do układania instrukcja obsługi. Gra jest przeznaczona dla dzieci, zapewnia atrakcyjną formę aktywności ruchowej i może być wykorzystywana w szkołach, placówkach edukacyjnych i w ramach zajęć rozwijających sprawność manualną.</w:t>
            </w:r>
          </w:p>
        </w:tc>
        <w:tc>
          <w:tcPr>
            <w:tcW w:w="850" w:type="dxa"/>
          </w:tcPr>
          <w:p w14:paraId="269E1E1D"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2</w:t>
            </w:r>
          </w:p>
        </w:tc>
        <w:tc>
          <w:tcPr>
            <w:tcW w:w="1275" w:type="dxa"/>
          </w:tcPr>
          <w:p w14:paraId="1AF5F53C"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68CDC933"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7E9019B0" w14:textId="77777777" w:rsidTr="004175F3">
        <w:trPr>
          <w:trHeight w:val="324"/>
        </w:trPr>
        <w:tc>
          <w:tcPr>
            <w:tcW w:w="697" w:type="dxa"/>
          </w:tcPr>
          <w:p w14:paraId="2C57C661"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14</w:t>
            </w:r>
          </w:p>
        </w:tc>
        <w:tc>
          <w:tcPr>
            <w:tcW w:w="5282" w:type="dxa"/>
          </w:tcPr>
          <w:p w14:paraId="3E624504" w14:textId="77777777" w:rsidR="00893A4C" w:rsidRPr="00893A4C" w:rsidRDefault="00893A4C" w:rsidP="00893A4C">
            <w:pPr>
              <w:spacing w:after="160" w:line="278" w:lineRule="auto"/>
              <w:jc w:val="both"/>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 xml:space="preserve">Układanka geometryczna. </w:t>
            </w:r>
            <w:proofErr w:type="spellStart"/>
            <w:r w:rsidRPr="00893A4C">
              <w:rPr>
                <w:rFonts w:ascii="Times New Roman" w:eastAsiaTheme="minorHAnsi" w:hAnsi="Times New Roman"/>
                <w:kern w:val="2"/>
                <w14:ligatures w14:val="standardContextual"/>
              </w:rPr>
              <w:t>Przybijanka</w:t>
            </w:r>
            <w:proofErr w:type="spellEnd"/>
            <w:r w:rsidRPr="00893A4C">
              <w:rPr>
                <w:rFonts w:ascii="Times New Roman" w:eastAsiaTheme="minorHAnsi" w:hAnsi="Times New Roman"/>
                <w:kern w:val="2"/>
                <w14:ligatures w14:val="standardContextual"/>
              </w:rPr>
              <w:t xml:space="preserve"> to kreatywna zabawka edukacyjna, pozwalająca tworzyć niemal nieskończoną ilość fantazyjnych obrazków, oferująca wspaniałą zabawę oraz idealny sposób na rozwijanie swojej wyobraźni! Zawartość opakowania: tablica korkowa 1 szt. Metalowe blaszki 132 szt. Pinezki 50szt. Drewniany młotek 1 szt. Album z inspiracjami</w:t>
            </w:r>
          </w:p>
        </w:tc>
        <w:tc>
          <w:tcPr>
            <w:tcW w:w="850" w:type="dxa"/>
          </w:tcPr>
          <w:p w14:paraId="5AFE72C2"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2</w:t>
            </w:r>
          </w:p>
        </w:tc>
        <w:tc>
          <w:tcPr>
            <w:tcW w:w="1275" w:type="dxa"/>
          </w:tcPr>
          <w:p w14:paraId="6E85612D"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0DEE0059"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1A244D26" w14:textId="77777777" w:rsidTr="004175F3">
        <w:trPr>
          <w:trHeight w:val="324"/>
        </w:trPr>
        <w:tc>
          <w:tcPr>
            <w:tcW w:w="697" w:type="dxa"/>
          </w:tcPr>
          <w:p w14:paraId="79368073"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15</w:t>
            </w:r>
          </w:p>
        </w:tc>
        <w:tc>
          <w:tcPr>
            <w:tcW w:w="5282" w:type="dxa"/>
          </w:tcPr>
          <w:p w14:paraId="3AEAC45F" w14:textId="77777777" w:rsidR="00893A4C" w:rsidRPr="00893A4C" w:rsidRDefault="00893A4C" w:rsidP="00893A4C">
            <w:pPr>
              <w:spacing w:after="160" w:line="278" w:lineRule="auto"/>
              <w:jc w:val="both"/>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Drewniany but do nauki sznurowania i przewlekania - Edukacyjna zabawka, która rozwija zdolności manualne i motoryczne u dzieci. Wykonany z solidnego drewna but posiada otwory umożliwiające naukę wiązania sznurków w sposób przypominający wiązanie prawdziwych butów.</w:t>
            </w:r>
          </w:p>
        </w:tc>
        <w:tc>
          <w:tcPr>
            <w:tcW w:w="850" w:type="dxa"/>
          </w:tcPr>
          <w:p w14:paraId="5B7C4F72"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1</w:t>
            </w:r>
          </w:p>
        </w:tc>
        <w:tc>
          <w:tcPr>
            <w:tcW w:w="1275" w:type="dxa"/>
          </w:tcPr>
          <w:p w14:paraId="4B00A793"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7329801A"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20936D3F" w14:textId="77777777" w:rsidTr="004175F3">
        <w:trPr>
          <w:trHeight w:val="324"/>
        </w:trPr>
        <w:tc>
          <w:tcPr>
            <w:tcW w:w="697" w:type="dxa"/>
          </w:tcPr>
          <w:p w14:paraId="7DB06D43"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16</w:t>
            </w:r>
          </w:p>
        </w:tc>
        <w:tc>
          <w:tcPr>
            <w:tcW w:w="5282" w:type="dxa"/>
          </w:tcPr>
          <w:p w14:paraId="745CA7F6" w14:textId="77777777" w:rsidR="00893A4C" w:rsidRPr="00893A4C" w:rsidRDefault="00893A4C" w:rsidP="00893A4C">
            <w:pPr>
              <w:spacing w:after="160" w:line="278" w:lineRule="auto"/>
              <w:jc w:val="both"/>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 xml:space="preserve">Drewniane korale rozwijające zręczność manualną, koordynację ręka-oko oraz koncentrację. Elementy można nawlekać według własnego pomysłu lub wzoru, co wspiera kreatywność i ćwiczenie cierpliwości. Zestaw zawiera: 24 drewniane koraliki, 2 sznurowadła. Dane techniczne: Wiek: od 3 lat, Średnica korala: 45 mm, Produkt testowany </w:t>
            </w:r>
            <w:r w:rsidRPr="00893A4C">
              <w:rPr>
                <w:rFonts w:ascii="Times New Roman" w:eastAsiaTheme="minorHAnsi" w:hAnsi="Times New Roman"/>
                <w:kern w:val="2"/>
                <w14:ligatures w14:val="standardContextual"/>
              </w:rPr>
              <w:lastRenderedPageBreak/>
              <w:t>zgodnie z europejskimi i międzynarodowymi normami bezpieczeństwa zabawek, posiada certyfikat</w:t>
            </w:r>
          </w:p>
        </w:tc>
        <w:tc>
          <w:tcPr>
            <w:tcW w:w="850" w:type="dxa"/>
          </w:tcPr>
          <w:p w14:paraId="21A475B1"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lastRenderedPageBreak/>
              <w:t>1</w:t>
            </w:r>
          </w:p>
        </w:tc>
        <w:tc>
          <w:tcPr>
            <w:tcW w:w="1275" w:type="dxa"/>
          </w:tcPr>
          <w:p w14:paraId="3D43BB60"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6A7834EE"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42DE25BE" w14:textId="77777777" w:rsidTr="004175F3">
        <w:trPr>
          <w:trHeight w:val="324"/>
        </w:trPr>
        <w:tc>
          <w:tcPr>
            <w:tcW w:w="697" w:type="dxa"/>
          </w:tcPr>
          <w:p w14:paraId="52D2DB1C"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17</w:t>
            </w:r>
          </w:p>
        </w:tc>
        <w:tc>
          <w:tcPr>
            <w:tcW w:w="5282" w:type="dxa"/>
          </w:tcPr>
          <w:p w14:paraId="7E2C971C" w14:textId="77777777" w:rsidR="00893A4C" w:rsidRPr="00893A4C" w:rsidRDefault="00893A4C" w:rsidP="00893A4C">
            <w:pPr>
              <w:spacing w:after="160" w:line="278" w:lineRule="auto"/>
              <w:jc w:val="both"/>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Gra motoryczna rozwijająca zręczność manualną, spostrzegawczość i umiejętność rozróżniania kształtów i kolorów. Elementy można nawlekać według własnego pomysłu lub wzoru na karcie, a różne warianty gry pozwalają ćwiczyć planowanie i koncentrację. Zestaw zawiera: 32 karty wzorów, 3 słupki i 3 podstawki, elementy do nawlekania: 12 kul, 12 kostek, 3 koła, 3 trójkąty, 3 kwadraty, 30 żetonów, instrukcję.</w:t>
            </w:r>
          </w:p>
        </w:tc>
        <w:tc>
          <w:tcPr>
            <w:tcW w:w="850" w:type="dxa"/>
          </w:tcPr>
          <w:p w14:paraId="0FAE1A7D"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2</w:t>
            </w:r>
          </w:p>
        </w:tc>
        <w:tc>
          <w:tcPr>
            <w:tcW w:w="1275" w:type="dxa"/>
          </w:tcPr>
          <w:p w14:paraId="253AF711"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62250FDB"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5D266F58" w14:textId="77777777" w:rsidTr="004175F3">
        <w:trPr>
          <w:trHeight w:val="324"/>
        </w:trPr>
        <w:tc>
          <w:tcPr>
            <w:tcW w:w="697" w:type="dxa"/>
          </w:tcPr>
          <w:p w14:paraId="5F5AB40D"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18</w:t>
            </w:r>
          </w:p>
        </w:tc>
        <w:tc>
          <w:tcPr>
            <w:tcW w:w="5282" w:type="dxa"/>
          </w:tcPr>
          <w:p w14:paraId="35BA423F" w14:textId="77777777" w:rsidR="00893A4C" w:rsidRPr="00893A4C" w:rsidRDefault="00893A4C" w:rsidP="00893A4C">
            <w:pPr>
              <w:spacing w:after="160" w:line="278" w:lineRule="auto"/>
              <w:jc w:val="both"/>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Gra dla dzieci od 5 lat, rozwijająca koordynację, zręczność i rywalizację w parach. Gracze starają się przerzucić swoje żetony na pole przeciwnika przy pomocy gumek. Zestaw zawiera: drewniane boisko, 2 elastyczne gumki, 4 blaszki do mocowania gumek, 5 czerwonych i 5 czarnych żetonów – piłek, 14 naklejek na żetony, instrukcję.</w:t>
            </w:r>
          </w:p>
        </w:tc>
        <w:tc>
          <w:tcPr>
            <w:tcW w:w="850" w:type="dxa"/>
          </w:tcPr>
          <w:p w14:paraId="458C3777"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2</w:t>
            </w:r>
          </w:p>
        </w:tc>
        <w:tc>
          <w:tcPr>
            <w:tcW w:w="1275" w:type="dxa"/>
          </w:tcPr>
          <w:p w14:paraId="2F389C22"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29CA9E44"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0AEFF35A" w14:textId="77777777" w:rsidTr="004175F3">
        <w:trPr>
          <w:trHeight w:val="324"/>
        </w:trPr>
        <w:tc>
          <w:tcPr>
            <w:tcW w:w="697" w:type="dxa"/>
          </w:tcPr>
          <w:p w14:paraId="268A583D"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19</w:t>
            </w:r>
          </w:p>
        </w:tc>
        <w:tc>
          <w:tcPr>
            <w:tcW w:w="5282" w:type="dxa"/>
          </w:tcPr>
          <w:p w14:paraId="2467EAC3" w14:textId="77777777" w:rsidR="00893A4C" w:rsidRPr="00893A4C" w:rsidRDefault="00893A4C" w:rsidP="00893A4C">
            <w:pPr>
              <w:spacing w:after="160" w:line="278" w:lineRule="auto"/>
              <w:jc w:val="both"/>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Skakanka drewniana „Zwierzątka” przeznaczona do zabaw ruchowych dzieci. Skakanka umożliwia ćwiczenie koordynacji, zręczności oraz aktywności fizycznej podczas zabawy. W skład zestawu wchodzą: pleciony sznurek o grubości 5 mm i długości 210 cm, drewniane rączki o długości 12 cm.</w:t>
            </w:r>
          </w:p>
        </w:tc>
        <w:tc>
          <w:tcPr>
            <w:tcW w:w="850" w:type="dxa"/>
          </w:tcPr>
          <w:p w14:paraId="41A60312"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2</w:t>
            </w:r>
          </w:p>
        </w:tc>
        <w:tc>
          <w:tcPr>
            <w:tcW w:w="1275" w:type="dxa"/>
          </w:tcPr>
          <w:p w14:paraId="18D0A747"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17AE0B30"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11B5E9CA" w14:textId="77777777" w:rsidTr="004175F3">
        <w:trPr>
          <w:trHeight w:val="324"/>
        </w:trPr>
        <w:tc>
          <w:tcPr>
            <w:tcW w:w="697" w:type="dxa"/>
          </w:tcPr>
          <w:p w14:paraId="32577F0A"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20</w:t>
            </w:r>
          </w:p>
        </w:tc>
        <w:tc>
          <w:tcPr>
            <w:tcW w:w="5282" w:type="dxa"/>
          </w:tcPr>
          <w:p w14:paraId="61B17713" w14:textId="77777777" w:rsidR="00893A4C" w:rsidRPr="00893A4C" w:rsidRDefault="00893A4C" w:rsidP="00893A4C">
            <w:pPr>
              <w:spacing w:after="160" w:line="278" w:lineRule="auto"/>
              <w:jc w:val="both"/>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Gra zręcznościowa „Twister”, w której uczestnicy wykonują zadania całym ciałem. W zależności od wskazań na tarczy bączków, gracze umieszczają stopy i dłonie w odpowiednich miejscach na planszy. Gracz, który nie może zająć wskazanego miejsca, odpada. Zwycięża uczestnik, który prawidłowo wykona wszystkie ruchy i pozostaje w grze najdłużej. Gra przeznaczona jest do zabawy dzieci i dorosłych, zapewnia aktywność fizyczną oraz rozwija sprawność ruchową uczestników. W skład zestawu wchodzą: 2 bączki, plansza z folii oraz instrukcja obsługi</w:t>
            </w:r>
          </w:p>
        </w:tc>
        <w:tc>
          <w:tcPr>
            <w:tcW w:w="850" w:type="dxa"/>
          </w:tcPr>
          <w:p w14:paraId="703208F0"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2</w:t>
            </w:r>
          </w:p>
        </w:tc>
        <w:tc>
          <w:tcPr>
            <w:tcW w:w="1275" w:type="dxa"/>
          </w:tcPr>
          <w:p w14:paraId="4A8DD4C0"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3E27A371"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6EC822A9" w14:textId="77777777" w:rsidTr="004175F3">
        <w:trPr>
          <w:trHeight w:val="324"/>
        </w:trPr>
        <w:tc>
          <w:tcPr>
            <w:tcW w:w="697" w:type="dxa"/>
          </w:tcPr>
          <w:p w14:paraId="0AD6A5A8"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p>
          <w:p w14:paraId="679DC524"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21</w:t>
            </w:r>
          </w:p>
        </w:tc>
        <w:tc>
          <w:tcPr>
            <w:tcW w:w="5282" w:type="dxa"/>
          </w:tcPr>
          <w:p w14:paraId="2AA0EF3D" w14:textId="77777777" w:rsidR="00893A4C" w:rsidRPr="00893A4C" w:rsidRDefault="00893A4C" w:rsidP="00893A4C">
            <w:pPr>
              <w:spacing w:after="160" w:line="278" w:lineRule="auto"/>
              <w:jc w:val="both"/>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Gra językowa przeznaczona dla dzieci w wieku od 7 lat, wspierająca naukę języka angielskiego w formie interaktywnej. Gra umożliwia rozwój kompetencji językowych oraz umiejętności spostrzegawczości, strategii i komunikacji. Gra posiada format 145 × 215 mm, co zapewnia łatwe przenoszenie oraz możliwość użytkowania w warunkach domowych, edukacyjnych lub grupowych. Rozgrywka polega na losowaniu kart z obrazkami i odnajdywaniu odpowiadających słów na planszy. Mechanika gry sprzyja integracji uczestników oraz aktywnemu uczestnictwu w zajęciach.</w:t>
            </w:r>
          </w:p>
        </w:tc>
        <w:tc>
          <w:tcPr>
            <w:tcW w:w="850" w:type="dxa"/>
          </w:tcPr>
          <w:p w14:paraId="7B06C5FB"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1</w:t>
            </w:r>
          </w:p>
        </w:tc>
        <w:tc>
          <w:tcPr>
            <w:tcW w:w="1275" w:type="dxa"/>
          </w:tcPr>
          <w:p w14:paraId="4DE631AF"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130CD806"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42047C15" w14:textId="77777777" w:rsidTr="004175F3">
        <w:trPr>
          <w:trHeight w:val="324"/>
        </w:trPr>
        <w:tc>
          <w:tcPr>
            <w:tcW w:w="697" w:type="dxa"/>
          </w:tcPr>
          <w:p w14:paraId="0EE6AE59"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22</w:t>
            </w:r>
          </w:p>
        </w:tc>
        <w:tc>
          <w:tcPr>
            <w:tcW w:w="5282" w:type="dxa"/>
          </w:tcPr>
          <w:p w14:paraId="42BB5709" w14:textId="77777777" w:rsidR="00893A4C" w:rsidRPr="00893A4C" w:rsidRDefault="00893A4C" w:rsidP="00893A4C">
            <w:pPr>
              <w:spacing w:after="160" w:line="278" w:lineRule="auto"/>
              <w:jc w:val="both"/>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 xml:space="preserve">Trening budowania zdań angielskich to atrakcyjna pomoc dydaktyczna wspierająca intensywne ćwiczenia w tworzeniu i utrwalaniu struktur zdaniowych. Materiał </w:t>
            </w:r>
            <w:r w:rsidRPr="00893A4C">
              <w:rPr>
                <w:rFonts w:ascii="Times New Roman" w:eastAsiaTheme="minorHAnsi" w:hAnsi="Times New Roman"/>
                <w:kern w:val="2"/>
                <w14:ligatures w14:val="standardContextual"/>
              </w:rPr>
              <w:lastRenderedPageBreak/>
              <w:t xml:space="preserve">pozwala na stopniowanie trudności dzięki dwustronnym kartonikom – z jednej strony obrazek z podpisem, z drugiej słowo. Zestaw umożliwia pracę indywidualną, w parach lub małych grupach, rozwija słownictwo, rozumienie i umiejętność tworzenia zdań w praktycznym kontekście. Dzieci mogą jednocześnie układać zdania, przepisywać je do zeszytu oraz rozszerzać zestaw o własne kartoniki. Każda seria ma własną kolorystykę </w:t>
            </w:r>
            <w:proofErr w:type="spellStart"/>
            <w:r w:rsidRPr="00893A4C">
              <w:rPr>
                <w:rFonts w:ascii="Times New Roman" w:eastAsiaTheme="minorHAnsi" w:hAnsi="Times New Roman"/>
                <w:kern w:val="2"/>
                <w14:ligatures w14:val="standardContextual"/>
              </w:rPr>
              <w:t>obramówek</w:t>
            </w:r>
            <w:proofErr w:type="spellEnd"/>
            <w:r w:rsidRPr="00893A4C">
              <w:rPr>
                <w:rFonts w:ascii="Times New Roman" w:eastAsiaTheme="minorHAnsi" w:hAnsi="Times New Roman"/>
                <w:kern w:val="2"/>
                <w14:ligatures w14:val="standardContextual"/>
              </w:rPr>
              <w:t xml:space="preserve"> oraz drewnianą podstawkę, a ułożone zdania dzieci mogą przepisywać do zeszytu lub omawiać w parach. Materiał umożliwia pracę jednocześnie do czterech dzieci, a w każdej serii znajduje się 8 zdań (łącznie 32) oraz 30 kartoników wyrazowych (łącznie 120). Drewniane podstawki mają wymiary 40 × 4,5 × 2 cm, a kartoniki 6,5 × 6,5 cm, natomiast zdania 6,5 × 38 cm.</w:t>
            </w:r>
          </w:p>
        </w:tc>
        <w:tc>
          <w:tcPr>
            <w:tcW w:w="850" w:type="dxa"/>
          </w:tcPr>
          <w:p w14:paraId="2806D1C8"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lastRenderedPageBreak/>
              <w:t>1</w:t>
            </w:r>
          </w:p>
        </w:tc>
        <w:tc>
          <w:tcPr>
            <w:tcW w:w="1275" w:type="dxa"/>
          </w:tcPr>
          <w:p w14:paraId="28AAB382"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37B55180"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29A48F6D" w14:textId="77777777" w:rsidTr="004175F3">
        <w:trPr>
          <w:trHeight w:val="324"/>
        </w:trPr>
        <w:tc>
          <w:tcPr>
            <w:tcW w:w="697" w:type="dxa"/>
          </w:tcPr>
          <w:p w14:paraId="411910A3"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23</w:t>
            </w:r>
          </w:p>
        </w:tc>
        <w:tc>
          <w:tcPr>
            <w:tcW w:w="5282" w:type="dxa"/>
          </w:tcPr>
          <w:p w14:paraId="79A02357" w14:textId="77777777" w:rsidR="00893A4C" w:rsidRPr="00893A4C" w:rsidRDefault="00893A4C" w:rsidP="00893A4C">
            <w:pPr>
              <w:spacing w:after="160" w:line="278" w:lineRule="auto"/>
              <w:jc w:val="both"/>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Gra pamięciowa MEMORY to doskonała propozycja do rozwijania pamięci i koncentracji u dzieci oraz do wspólnej zabawy w rodzinie lub w grupie rówieśniczej. Podczas gry dzieci mają okazję poznać 35 podstawowych angielskich słówek. Dodatkowo zestaw zawiera mini słowniczek z zapisem wymowy, który wspiera naukę języka angielskiego.</w:t>
            </w:r>
          </w:p>
        </w:tc>
        <w:tc>
          <w:tcPr>
            <w:tcW w:w="850" w:type="dxa"/>
          </w:tcPr>
          <w:p w14:paraId="0F78B08D"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1</w:t>
            </w:r>
          </w:p>
        </w:tc>
        <w:tc>
          <w:tcPr>
            <w:tcW w:w="1275" w:type="dxa"/>
          </w:tcPr>
          <w:p w14:paraId="2419D316"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0DC3BFDF"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351DDA2F" w14:textId="77777777" w:rsidTr="004175F3">
        <w:trPr>
          <w:trHeight w:val="324"/>
        </w:trPr>
        <w:tc>
          <w:tcPr>
            <w:tcW w:w="697" w:type="dxa"/>
          </w:tcPr>
          <w:p w14:paraId="291F1207"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24</w:t>
            </w:r>
          </w:p>
        </w:tc>
        <w:tc>
          <w:tcPr>
            <w:tcW w:w="5282" w:type="dxa"/>
          </w:tcPr>
          <w:p w14:paraId="280370AF" w14:textId="77777777" w:rsidR="00893A4C" w:rsidRPr="00893A4C" w:rsidRDefault="00893A4C" w:rsidP="00893A4C">
            <w:pPr>
              <w:spacing w:after="160" w:line="278" w:lineRule="auto"/>
              <w:jc w:val="both"/>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Zestaw sześciu kolorowych kostek z miękkiej pianki do nauki języka angielskiego i rozwijania umiejętności konwersacyjnych. Na bokach kostek znajduje się 36 pytań, które zachęcają uczniów do mówienia o swoich doświadczeniach, opiniach i preferencjach. Kostki wspierają ćwiczenia w zakresie komunikacji, słuchania, umiejętności społecznych oraz kreatywnego myślenia. Zestaw zawiera przewodnik z propozycjami aktywności. 6 kostek o wymiarach : 4 x 4 x 4 cm</w:t>
            </w:r>
          </w:p>
        </w:tc>
        <w:tc>
          <w:tcPr>
            <w:tcW w:w="850" w:type="dxa"/>
          </w:tcPr>
          <w:p w14:paraId="2706B0C2"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1</w:t>
            </w:r>
          </w:p>
        </w:tc>
        <w:tc>
          <w:tcPr>
            <w:tcW w:w="1275" w:type="dxa"/>
          </w:tcPr>
          <w:p w14:paraId="46B7CB62"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14023E54"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6EB6CD0E" w14:textId="77777777" w:rsidTr="004175F3">
        <w:trPr>
          <w:trHeight w:val="324"/>
        </w:trPr>
        <w:tc>
          <w:tcPr>
            <w:tcW w:w="697" w:type="dxa"/>
          </w:tcPr>
          <w:p w14:paraId="5548035B"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25</w:t>
            </w:r>
          </w:p>
        </w:tc>
        <w:tc>
          <w:tcPr>
            <w:tcW w:w="5282" w:type="dxa"/>
          </w:tcPr>
          <w:p w14:paraId="46B5A26F" w14:textId="77777777" w:rsidR="00893A4C" w:rsidRPr="00893A4C" w:rsidRDefault="00893A4C" w:rsidP="00893A4C">
            <w:pPr>
              <w:spacing w:after="160" w:line="278" w:lineRule="auto"/>
              <w:jc w:val="both"/>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Zestaw sześciu kostek z pianki do nauki języka angielskiego. Na bokach każdej kostki znajdują się różne pytania i zdania, które wspierają ćwiczenie rozumienia tekstu oraz rozwijają umiejętność mówienia w języku angielskim. Kostki zapewniają atrakcyjną i bezpieczną formę nauki poprzez zabawę. Liczba sztuk: 6 Wymiary kostki: 4 x 4 x 4 cm</w:t>
            </w:r>
          </w:p>
        </w:tc>
        <w:tc>
          <w:tcPr>
            <w:tcW w:w="850" w:type="dxa"/>
          </w:tcPr>
          <w:p w14:paraId="41255723"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1</w:t>
            </w:r>
          </w:p>
        </w:tc>
        <w:tc>
          <w:tcPr>
            <w:tcW w:w="1275" w:type="dxa"/>
          </w:tcPr>
          <w:p w14:paraId="508CB93F"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41AB966E"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198C7376" w14:textId="77777777" w:rsidTr="004175F3">
        <w:trPr>
          <w:trHeight w:val="324"/>
        </w:trPr>
        <w:tc>
          <w:tcPr>
            <w:tcW w:w="697" w:type="dxa"/>
          </w:tcPr>
          <w:p w14:paraId="75E57CC8"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26</w:t>
            </w:r>
          </w:p>
        </w:tc>
        <w:tc>
          <w:tcPr>
            <w:tcW w:w="5282" w:type="dxa"/>
          </w:tcPr>
          <w:p w14:paraId="7FF0F7AB" w14:textId="77777777" w:rsidR="00893A4C" w:rsidRPr="00893A4C" w:rsidRDefault="00893A4C" w:rsidP="00893A4C">
            <w:pPr>
              <w:spacing w:after="160" w:line="278" w:lineRule="auto"/>
              <w:jc w:val="both"/>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Zestaw sześciu kolorowych kostek konwersacyjnych zawierających 36 pytań w języku angielskim. Kostki służą do pobudzania wyobraźni, rozwijania umiejętności mówienia i słuchania oraz wspierania krytycznego myślenia. Idealne do wykorzystania w klasie, w domu lub podczas zajęć językowych jako atrakcyjne narzędzie do ćwiczenia komunikacji.</w:t>
            </w:r>
          </w:p>
        </w:tc>
        <w:tc>
          <w:tcPr>
            <w:tcW w:w="850" w:type="dxa"/>
          </w:tcPr>
          <w:p w14:paraId="5A5A546E"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1</w:t>
            </w:r>
          </w:p>
        </w:tc>
        <w:tc>
          <w:tcPr>
            <w:tcW w:w="1275" w:type="dxa"/>
          </w:tcPr>
          <w:p w14:paraId="5665DCCC"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1CD459F9"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0DA69E44" w14:textId="77777777" w:rsidTr="004175F3">
        <w:trPr>
          <w:trHeight w:val="324"/>
        </w:trPr>
        <w:tc>
          <w:tcPr>
            <w:tcW w:w="697" w:type="dxa"/>
          </w:tcPr>
          <w:p w14:paraId="3C362CB7"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27</w:t>
            </w:r>
          </w:p>
        </w:tc>
        <w:tc>
          <w:tcPr>
            <w:tcW w:w="5282" w:type="dxa"/>
          </w:tcPr>
          <w:p w14:paraId="055E40D3" w14:textId="77777777" w:rsidR="00893A4C" w:rsidRPr="00893A4C" w:rsidRDefault="00893A4C" w:rsidP="00893A4C">
            <w:pPr>
              <w:spacing w:after="160" w:line="278" w:lineRule="auto"/>
              <w:jc w:val="both"/>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 xml:space="preserve">Zestaw 6 miękkich kostek z trwałej pianki (bok 4,2 cm) z angielskimi poleceniami. Kostki umożliwiają dynamiczną, </w:t>
            </w:r>
            <w:r w:rsidRPr="00893A4C">
              <w:rPr>
                <w:rFonts w:ascii="Times New Roman" w:eastAsiaTheme="minorHAnsi" w:hAnsi="Times New Roman"/>
                <w:kern w:val="2"/>
                <w14:ligatures w14:val="standardContextual"/>
              </w:rPr>
              <w:lastRenderedPageBreak/>
              <w:t>bezpieczną naukę języka angielskiego poprzez zabawę i ćwiczenia mówienia. Krótka instrukcja w języku angielskim zawiera propozycje ćwiczeń, które mogą być modyfikowane przez nauczyciela lub samych uczniów.</w:t>
            </w:r>
          </w:p>
        </w:tc>
        <w:tc>
          <w:tcPr>
            <w:tcW w:w="850" w:type="dxa"/>
          </w:tcPr>
          <w:p w14:paraId="0BE9980D"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lastRenderedPageBreak/>
              <w:t>1</w:t>
            </w:r>
          </w:p>
        </w:tc>
        <w:tc>
          <w:tcPr>
            <w:tcW w:w="1275" w:type="dxa"/>
          </w:tcPr>
          <w:p w14:paraId="1B7AE372"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54745325"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77ED607E" w14:textId="77777777" w:rsidTr="004175F3">
        <w:trPr>
          <w:trHeight w:val="324"/>
        </w:trPr>
        <w:tc>
          <w:tcPr>
            <w:tcW w:w="697" w:type="dxa"/>
          </w:tcPr>
          <w:p w14:paraId="4C1258CA"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28</w:t>
            </w:r>
          </w:p>
        </w:tc>
        <w:tc>
          <w:tcPr>
            <w:tcW w:w="5282" w:type="dxa"/>
          </w:tcPr>
          <w:p w14:paraId="76E51F29" w14:textId="77777777" w:rsidR="00893A4C" w:rsidRPr="00893A4C" w:rsidRDefault="00893A4C" w:rsidP="00893A4C">
            <w:pPr>
              <w:spacing w:after="160" w:line="278" w:lineRule="auto"/>
              <w:jc w:val="both"/>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Zestaw ponad 40 ilustrowanych gier planszowych do nauki języka angielskiego na poziomie A1–B1. Gry umożliwiają przyswajanie konstrukcji gramatycznych, rozwijanie słownictwa i przełamywanie bariery językowej w atrakcyjny, interaktywny sposób. Zestaw sprawdzi się zarówno podczas zajęć w grupach szkolnych i kursach językowych, jak i w domu z rodziną lub przyjaciółmi. Gry łączą naukę z zabawą, stymulują dyskusję i utrwalają wiedzę językową, zapewniając jednocześnie atrakcyjną formę spędzania czasu wolnego.</w:t>
            </w:r>
          </w:p>
        </w:tc>
        <w:tc>
          <w:tcPr>
            <w:tcW w:w="850" w:type="dxa"/>
          </w:tcPr>
          <w:p w14:paraId="4EE969AB"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1</w:t>
            </w:r>
          </w:p>
        </w:tc>
        <w:tc>
          <w:tcPr>
            <w:tcW w:w="1275" w:type="dxa"/>
          </w:tcPr>
          <w:p w14:paraId="6B87B609"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505F6D35"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5D2AF5E9" w14:textId="77777777" w:rsidTr="004175F3">
        <w:trPr>
          <w:trHeight w:val="324"/>
        </w:trPr>
        <w:tc>
          <w:tcPr>
            <w:tcW w:w="697" w:type="dxa"/>
          </w:tcPr>
          <w:p w14:paraId="689BC499"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29</w:t>
            </w:r>
          </w:p>
        </w:tc>
        <w:tc>
          <w:tcPr>
            <w:tcW w:w="5282" w:type="dxa"/>
          </w:tcPr>
          <w:p w14:paraId="3AD2011E" w14:textId="77777777" w:rsidR="00893A4C" w:rsidRPr="00893A4C" w:rsidRDefault="00893A4C" w:rsidP="00893A4C">
            <w:pPr>
              <w:spacing w:after="160" w:line="278" w:lineRule="auto"/>
              <w:jc w:val="both"/>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Pakiet 38 gier planszowych wspierających naukę języka angielskiego na poziomach A2–C1. Zestaw umożliwia przyswajanie słownictwa, zwrotów, kolokacji, idiomów i potocznych wyrażeń w formie atrakcyjnej zabawy. Materiał przeznaczony jest do pracy w grupach szkolnych, kursach językowych oraz w domu. Gry stymulują konwersację, utrwalają słownictwo i zachęcają uczestników do aktywnego udziału. Książka może być rozłożona na płasko, pełniąc funkcję planszy do gry. Pakiet obejmuje tematy codzienne, takie jak zakupy, pogoda, praca, zwierzęta, a także zagadnienia nietypowe, np. przestępczość, umożliwiając wszechstronny rozwój słownictwa i umiejętności komunikacyjnych.</w:t>
            </w:r>
          </w:p>
        </w:tc>
        <w:tc>
          <w:tcPr>
            <w:tcW w:w="850" w:type="dxa"/>
          </w:tcPr>
          <w:p w14:paraId="2581A614"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1</w:t>
            </w:r>
          </w:p>
        </w:tc>
        <w:tc>
          <w:tcPr>
            <w:tcW w:w="1275" w:type="dxa"/>
          </w:tcPr>
          <w:p w14:paraId="79CD205C"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4D5F541F"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6DC95A99" w14:textId="77777777" w:rsidTr="004175F3">
        <w:trPr>
          <w:trHeight w:val="324"/>
        </w:trPr>
        <w:tc>
          <w:tcPr>
            <w:tcW w:w="697" w:type="dxa"/>
          </w:tcPr>
          <w:p w14:paraId="5428E4E1"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30</w:t>
            </w:r>
          </w:p>
        </w:tc>
        <w:tc>
          <w:tcPr>
            <w:tcW w:w="5282" w:type="dxa"/>
          </w:tcPr>
          <w:p w14:paraId="3FE16188" w14:textId="77777777" w:rsidR="00893A4C" w:rsidRPr="00893A4C" w:rsidRDefault="00893A4C" w:rsidP="00893A4C">
            <w:pPr>
              <w:spacing w:after="160" w:line="278" w:lineRule="auto"/>
              <w:jc w:val="both"/>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 xml:space="preserve">Materiał edukacyjny wspierający rozwój słownictwa w języku angielskim na poziomach średnio zaawansowanym i zaawansowanym (B1–C1). Zawiera 65 unikatowych map językowych, prezentujących czasowniki wraz z kolokacjami, zwrotami, </w:t>
            </w:r>
            <w:proofErr w:type="spellStart"/>
            <w:r w:rsidRPr="00893A4C">
              <w:rPr>
                <w:rFonts w:ascii="Times New Roman" w:eastAsiaTheme="minorHAnsi" w:hAnsi="Times New Roman"/>
                <w:kern w:val="2"/>
                <w14:ligatures w14:val="standardContextual"/>
              </w:rPr>
              <w:t>phrasal</w:t>
            </w:r>
            <w:proofErr w:type="spellEnd"/>
            <w:r w:rsidRPr="00893A4C">
              <w:rPr>
                <w:rFonts w:ascii="Times New Roman" w:eastAsiaTheme="minorHAnsi" w:hAnsi="Times New Roman"/>
                <w:kern w:val="2"/>
                <w14:ligatures w14:val="standardContextual"/>
              </w:rPr>
              <w:t xml:space="preserve"> </w:t>
            </w:r>
            <w:proofErr w:type="spellStart"/>
            <w:r w:rsidRPr="00893A4C">
              <w:rPr>
                <w:rFonts w:ascii="Times New Roman" w:eastAsiaTheme="minorHAnsi" w:hAnsi="Times New Roman"/>
                <w:kern w:val="2"/>
                <w14:ligatures w14:val="standardContextual"/>
              </w:rPr>
              <w:t>verbs</w:t>
            </w:r>
            <w:proofErr w:type="spellEnd"/>
            <w:r w:rsidRPr="00893A4C">
              <w:rPr>
                <w:rFonts w:ascii="Times New Roman" w:eastAsiaTheme="minorHAnsi" w:hAnsi="Times New Roman"/>
                <w:kern w:val="2"/>
                <w14:ligatures w14:val="standardContextual"/>
              </w:rPr>
              <w:t>, idiomami oraz ilustracjami wspomagającymi zapamiętywanie i rozwijanie wyobraźni językowej. Zestaw umożliwia systematyczne utrwalanie słownictwa poprzez ponad 150 ćwiczeń, krzyżówek oraz 13 testów podsumowujących. Dodatkowo w książce znajdują się praktyczne informacje dotyczące gramatyki, wymowy, kultury językowej i potocznych zwrotów. Materiał jest przeznaczony do pracy indywidualnej oraz grupowej, a zastosowanie metody mapowania pojęć wspiera efektywne zapamiętywanie nowych wyrazów i zwrotów.</w:t>
            </w:r>
          </w:p>
        </w:tc>
        <w:tc>
          <w:tcPr>
            <w:tcW w:w="850" w:type="dxa"/>
          </w:tcPr>
          <w:p w14:paraId="4467776C"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1</w:t>
            </w:r>
          </w:p>
        </w:tc>
        <w:tc>
          <w:tcPr>
            <w:tcW w:w="1275" w:type="dxa"/>
          </w:tcPr>
          <w:p w14:paraId="505D3BFB"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23D2EC8B"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5A8CAA35" w14:textId="77777777" w:rsidTr="004175F3">
        <w:trPr>
          <w:trHeight w:val="324"/>
        </w:trPr>
        <w:tc>
          <w:tcPr>
            <w:tcW w:w="697" w:type="dxa"/>
          </w:tcPr>
          <w:p w14:paraId="60A59212"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31</w:t>
            </w:r>
          </w:p>
        </w:tc>
        <w:tc>
          <w:tcPr>
            <w:tcW w:w="5282" w:type="dxa"/>
          </w:tcPr>
          <w:p w14:paraId="4AE1AB5C" w14:textId="77777777" w:rsidR="00893A4C" w:rsidRPr="00893A4C" w:rsidRDefault="00893A4C" w:rsidP="00893A4C">
            <w:pPr>
              <w:spacing w:after="160" w:line="278" w:lineRule="auto"/>
              <w:jc w:val="both"/>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 xml:space="preserve">Zestaw edukacyjny „Angielski 365. </w:t>
            </w:r>
            <w:proofErr w:type="spellStart"/>
            <w:r w:rsidRPr="00893A4C">
              <w:rPr>
                <w:rFonts w:ascii="Times New Roman" w:eastAsiaTheme="minorHAnsi" w:hAnsi="Times New Roman"/>
                <w:kern w:val="2"/>
                <w14:ligatures w14:val="standardContextual"/>
              </w:rPr>
              <w:t>Phrasal</w:t>
            </w:r>
            <w:proofErr w:type="spellEnd"/>
            <w:r w:rsidRPr="00893A4C">
              <w:rPr>
                <w:rFonts w:ascii="Times New Roman" w:eastAsiaTheme="minorHAnsi" w:hAnsi="Times New Roman"/>
                <w:kern w:val="2"/>
                <w14:ligatures w14:val="standardContextual"/>
              </w:rPr>
              <w:t xml:space="preserve"> </w:t>
            </w:r>
            <w:proofErr w:type="spellStart"/>
            <w:r w:rsidRPr="00893A4C">
              <w:rPr>
                <w:rFonts w:ascii="Times New Roman" w:eastAsiaTheme="minorHAnsi" w:hAnsi="Times New Roman"/>
                <w:kern w:val="2"/>
                <w14:ligatures w14:val="standardContextual"/>
              </w:rPr>
              <w:t>verbs</w:t>
            </w:r>
            <w:proofErr w:type="spellEnd"/>
            <w:r w:rsidRPr="00893A4C">
              <w:rPr>
                <w:rFonts w:ascii="Times New Roman" w:eastAsiaTheme="minorHAnsi" w:hAnsi="Times New Roman"/>
                <w:kern w:val="2"/>
                <w14:ligatures w14:val="standardContextual"/>
              </w:rPr>
              <w:t xml:space="preserve"> na każdy dzień” umożliwia systematyczną naukę 365 najczęściej używanych </w:t>
            </w:r>
            <w:proofErr w:type="spellStart"/>
            <w:r w:rsidRPr="00893A4C">
              <w:rPr>
                <w:rFonts w:ascii="Times New Roman" w:eastAsiaTheme="minorHAnsi" w:hAnsi="Times New Roman"/>
                <w:kern w:val="2"/>
                <w14:ligatures w14:val="standardContextual"/>
              </w:rPr>
              <w:t>phrasal</w:t>
            </w:r>
            <w:proofErr w:type="spellEnd"/>
            <w:r w:rsidRPr="00893A4C">
              <w:rPr>
                <w:rFonts w:ascii="Times New Roman" w:eastAsiaTheme="minorHAnsi" w:hAnsi="Times New Roman"/>
                <w:kern w:val="2"/>
                <w14:ligatures w14:val="standardContextual"/>
              </w:rPr>
              <w:t xml:space="preserve"> </w:t>
            </w:r>
            <w:proofErr w:type="spellStart"/>
            <w:r w:rsidRPr="00893A4C">
              <w:rPr>
                <w:rFonts w:ascii="Times New Roman" w:eastAsiaTheme="minorHAnsi" w:hAnsi="Times New Roman"/>
                <w:kern w:val="2"/>
                <w14:ligatures w14:val="standardContextual"/>
              </w:rPr>
              <w:t>verbs</w:t>
            </w:r>
            <w:proofErr w:type="spellEnd"/>
            <w:r w:rsidRPr="00893A4C">
              <w:rPr>
                <w:rFonts w:ascii="Times New Roman" w:eastAsiaTheme="minorHAnsi" w:hAnsi="Times New Roman"/>
                <w:kern w:val="2"/>
                <w14:ligatures w14:val="standardContextual"/>
              </w:rPr>
              <w:t xml:space="preserve">. Każdy dzień zawiera jeden czasownik złożony wraz z przykładowymi zdaniami w kontekście, co wspiera zarówno naukę znaczenia, jak i poprawnego stosowania w zdaniach. Materiał umożliwia </w:t>
            </w:r>
            <w:r w:rsidRPr="00893A4C">
              <w:rPr>
                <w:rFonts w:ascii="Times New Roman" w:eastAsiaTheme="minorHAnsi" w:hAnsi="Times New Roman"/>
                <w:kern w:val="2"/>
                <w14:ligatures w14:val="standardContextual"/>
              </w:rPr>
              <w:lastRenderedPageBreak/>
              <w:t>naukę w dowolnym czasie, niezależnie od roku, i przeznaczony jest dla samouków, uczniów szkół średnich oraz osób przygotowujących się do egzaminów FCE i CAE. Zestaw zawiera również kurs audio MP3 z nagraniami lektora natywnego, co wspiera wymowę i rozumienie ze słuchu.</w:t>
            </w:r>
          </w:p>
        </w:tc>
        <w:tc>
          <w:tcPr>
            <w:tcW w:w="850" w:type="dxa"/>
          </w:tcPr>
          <w:p w14:paraId="4E77B4B3"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lastRenderedPageBreak/>
              <w:t>1</w:t>
            </w:r>
          </w:p>
        </w:tc>
        <w:tc>
          <w:tcPr>
            <w:tcW w:w="1275" w:type="dxa"/>
          </w:tcPr>
          <w:p w14:paraId="615C0D6B"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237BAC45"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35AC4537" w14:textId="77777777" w:rsidTr="004175F3">
        <w:trPr>
          <w:trHeight w:val="324"/>
        </w:trPr>
        <w:tc>
          <w:tcPr>
            <w:tcW w:w="697" w:type="dxa"/>
          </w:tcPr>
          <w:p w14:paraId="616A969B"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32</w:t>
            </w:r>
          </w:p>
        </w:tc>
        <w:tc>
          <w:tcPr>
            <w:tcW w:w="5282" w:type="dxa"/>
          </w:tcPr>
          <w:p w14:paraId="5120B2F7" w14:textId="77777777" w:rsidR="00893A4C" w:rsidRPr="00893A4C" w:rsidRDefault="00893A4C" w:rsidP="00893A4C">
            <w:pPr>
              <w:spacing w:after="160" w:line="278" w:lineRule="auto"/>
              <w:jc w:val="both"/>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Zestaw edukacyjny do nauki języka angielskiego, obejmujący kartoniki z ilustracjami przedmiotów, zwierząt i pożywienia, które należy dopasować do podpisów w języku angielskim. Materiał wspiera wprowadzanie i utrwalanie słownictwa w zakresie rzeczowników oraz prawidłowej pisowni wyrazów. Karty można wykorzystywać do zabaw językowych i pracy indywidualnej. Kolorowy pasek samokontroli umożliwia samodzielną naukę. Kartoniki wykonane są z trwałej, grubej tektury, co zapewnia wielokrotne użytkowanie.</w:t>
            </w:r>
          </w:p>
        </w:tc>
        <w:tc>
          <w:tcPr>
            <w:tcW w:w="850" w:type="dxa"/>
          </w:tcPr>
          <w:p w14:paraId="6E7E94D4"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1</w:t>
            </w:r>
          </w:p>
        </w:tc>
        <w:tc>
          <w:tcPr>
            <w:tcW w:w="1275" w:type="dxa"/>
          </w:tcPr>
          <w:p w14:paraId="092086D3"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3FE0FF3B"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5B334409" w14:textId="77777777" w:rsidTr="004175F3">
        <w:trPr>
          <w:trHeight w:val="324"/>
        </w:trPr>
        <w:tc>
          <w:tcPr>
            <w:tcW w:w="697" w:type="dxa"/>
          </w:tcPr>
          <w:p w14:paraId="2CE80D19"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33</w:t>
            </w:r>
          </w:p>
        </w:tc>
        <w:tc>
          <w:tcPr>
            <w:tcW w:w="5282" w:type="dxa"/>
          </w:tcPr>
          <w:p w14:paraId="5D4B41CF" w14:textId="77777777" w:rsidR="00893A4C" w:rsidRPr="00893A4C" w:rsidRDefault="00893A4C" w:rsidP="00893A4C">
            <w:pPr>
              <w:spacing w:after="160" w:line="278" w:lineRule="auto"/>
              <w:jc w:val="both"/>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Zestaw edukacyjny do nauki języka angielskiego, obejmujący kartoniki z ilustracjami przedmiotów, zwierząt i pożywienia, które należy dopasować do podpisów w języku angielskim. Materiał wspiera wprowadzanie i utrwalanie słownictwa w zakresie rzeczowników oraz prawidłowej pisowni wyrazów. Karty można wykorzystywać do zabaw językowych i pracy indywidualnej. Kolorowy pasek samokontroli umożliwia samodzielną naukę. Kartoniki wykonane są z trwałej, grubej tektury, co zapewnia wielokrotne użytkowanie.</w:t>
            </w:r>
          </w:p>
        </w:tc>
        <w:tc>
          <w:tcPr>
            <w:tcW w:w="850" w:type="dxa"/>
          </w:tcPr>
          <w:p w14:paraId="2B289836"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1</w:t>
            </w:r>
          </w:p>
        </w:tc>
        <w:tc>
          <w:tcPr>
            <w:tcW w:w="1275" w:type="dxa"/>
          </w:tcPr>
          <w:p w14:paraId="4F642CAD"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5112D99D"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0B4B2851" w14:textId="77777777" w:rsidTr="004175F3">
        <w:trPr>
          <w:trHeight w:val="324"/>
        </w:trPr>
        <w:tc>
          <w:tcPr>
            <w:tcW w:w="697" w:type="dxa"/>
          </w:tcPr>
          <w:p w14:paraId="58C5EB9A"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34</w:t>
            </w:r>
          </w:p>
        </w:tc>
        <w:tc>
          <w:tcPr>
            <w:tcW w:w="5282" w:type="dxa"/>
          </w:tcPr>
          <w:p w14:paraId="3BEC6716" w14:textId="77777777" w:rsidR="00893A4C" w:rsidRPr="00893A4C" w:rsidRDefault="00893A4C" w:rsidP="00893A4C">
            <w:pPr>
              <w:spacing w:after="160" w:line="278" w:lineRule="auto"/>
              <w:jc w:val="both"/>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 xml:space="preserve">Zestaw edukacyjny do nauki języka angielskiego, umożliwiający zespołowe rozszyfrowywanie słów dwusylabowych. Materiał przeznaczony do pracy grupowej dla 4 uczestników, wspiera rozwój umiejętności językowych i logicznego myślenia. Elementy puzzli z obrazkami ułatwiają naukę i umożliwiają natychmiastową samokontrolę poprawności odpowiedzi. Zestaw zawiera: 10 układanek trzyelementowych, 4 przezroczyste sakiewki, dwustronną piramidkę z instrukcją, kartę odpowiedzi oraz </w:t>
            </w:r>
            <w:proofErr w:type="spellStart"/>
            <w:r w:rsidRPr="00893A4C">
              <w:rPr>
                <w:rFonts w:ascii="Times New Roman" w:eastAsiaTheme="minorHAnsi" w:hAnsi="Times New Roman"/>
                <w:kern w:val="2"/>
                <w14:ligatures w14:val="standardContextual"/>
              </w:rPr>
              <w:t>suchościeralną</w:t>
            </w:r>
            <w:proofErr w:type="spellEnd"/>
            <w:r w:rsidRPr="00893A4C">
              <w:rPr>
                <w:rFonts w:ascii="Times New Roman" w:eastAsiaTheme="minorHAnsi" w:hAnsi="Times New Roman"/>
                <w:kern w:val="2"/>
                <w14:ligatures w14:val="standardContextual"/>
              </w:rPr>
              <w:t xml:space="preserve"> kartę oceny do wykorzystania podczas kolejnych zajęć. Całość zapakowana w estetyczne pudełko z grubej foliowanej tektury.</w:t>
            </w:r>
          </w:p>
        </w:tc>
        <w:tc>
          <w:tcPr>
            <w:tcW w:w="850" w:type="dxa"/>
          </w:tcPr>
          <w:p w14:paraId="773B7F4C"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1</w:t>
            </w:r>
          </w:p>
        </w:tc>
        <w:tc>
          <w:tcPr>
            <w:tcW w:w="1275" w:type="dxa"/>
          </w:tcPr>
          <w:p w14:paraId="408F6B50"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5914BAB2"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43309D82" w14:textId="77777777" w:rsidTr="004175F3">
        <w:trPr>
          <w:trHeight w:val="324"/>
        </w:trPr>
        <w:tc>
          <w:tcPr>
            <w:tcW w:w="697" w:type="dxa"/>
          </w:tcPr>
          <w:p w14:paraId="5D56633F"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35</w:t>
            </w:r>
          </w:p>
        </w:tc>
        <w:tc>
          <w:tcPr>
            <w:tcW w:w="5282" w:type="dxa"/>
          </w:tcPr>
          <w:p w14:paraId="562A4E16" w14:textId="77777777" w:rsidR="00893A4C" w:rsidRPr="00893A4C" w:rsidRDefault="00893A4C" w:rsidP="00893A4C">
            <w:pPr>
              <w:spacing w:after="160" w:line="278" w:lineRule="auto"/>
              <w:jc w:val="both"/>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 xml:space="preserve">Karty Konwersacyjne - </w:t>
            </w:r>
            <w:proofErr w:type="spellStart"/>
            <w:r w:rsidRPr="00893A4C">
              <w:rPr>
                <w:rFonts w:ascii="Times New Roman" w:eastAsiaTheme="minorHAnsi" w:hAnsi="Times New Roman"/>
                <w:kern w:val="2"/>
                <w14:ligatures w14:val="standardContextual"/>
              </w:rPr>
              <w:t>Let's</w:t>
            </w:r>
            <w:proofErr w:type="spellEnd"/>
            <w:r w:rsidRPr="00893A4C">
              <w:rPr>
                <w:rFonts w:ascii="Times New Roman" w:eastAsiaTheme="minorHAnsi" w:hAnsi="Times New Roman"/>
                <w:kern w:val="2"/>
                <w14:ligatures w14:val="standardContextual"/>
              </w:rPr>
              <w:t xml:space="preserve"> talk - HAPPINESS CARDS Zestaw 48 kart edukacyjnych „</w:t>
            </w:r>
            <w:proofErr w:type="spellStart"/>
            <w:r w:rsidRPr="00893A4C">
              <w:rPr>
                <w:rFonts w:ascii="Times New Roman" w:eastAsiaTheme="minorHAnsi" w:hAnsi="Times New Roman"/>
                <w:kern w:val="2"/>
                <w14:ligatures w14:val="standardContextual"/>
              </w:rPr>
              <w:t>Happiness</w:t>
            </w:r>
            <w:proofErr w:type="spellEnd"/>
            <w:r w:rsidRPr="00893A4C">
              <w:rPr>
                <w:rFonts w:ascii="Times New Roman" w:eastAsiaTheme="minorHAnsi" w:hAnsi="Times New Roman"/>
                <w:kern w:val="2"/>
                <w14:ligatures w14:val="standardContextual"/>
              </w:rPr>
              <w:t xml:space="preserve"> Cards” wspierających rozwój dobrostanu psychicznego i emocjonalnego, przeznaczony do wykorzystania w zajęciach konwersacyjnych. Każda karta zawiera technikę wspierającą zdrowie psychiczne oraz pytania do dyskusji i refleksji po jej wykonaniu. Karty mogą być wykorzystywane w pracy z uczniami podczas zajęć szkolnych, warsztatów językowych oraz w nauczaniu </w:t>
            </w:r>
            <w:r w:rsidRPr="00893A4C">
              <w:rPr>
                <w:rFonts w:ascii="Times New Roman" w:eastAsiaTheme="minorHAnsi" w:hAnsi="Times New Roman"/>
                <w:kern w:val="2"/>
                <w14:ligatures w14:val="standardContextual"/>
              </w:rPr>
              <w:lastRenderedPageBreak/>
              <w:t>indywidualnym lub grupowym. Materiał sprzyja uważności, redukcji stresu, wzmacnianiu poczucia szczęścia i tworzeniu pozytywnej atmosfery w grupie.</w:t>
            </w:r>
          </w:p>
        </w:tc>
        <w:tc>
          <w:tcPr>
            <w:tcW w:w="850" w:type="dxa"/>
          </w:tcPr>
          <w:p w14:paraId="300298E8"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lastRenderedPageBreak/>
              <w:t>1</w:t>
            </w:r>
          </w:p>
        </w:tc>
        <w:tc>
          <w:tcPr>
            <w:tcW w:w="1275" w:type="dxa"/>
          </w:tcPr>
          <w:p w14:paraId="6EB0B9DF"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0CD785B1"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0BF8F7C3" w14:textId="77777777" w:rsidTr="004175F3">
        <w:trPr>
          <w:trHeight w:val="324"/>
        </w:trPr>
        <w:tc>
          <w:tcPr>
            <w:tcW w:w="697" w:type="dxa"/>
          </w:tcPr>
          <w:p w14:paraId="3B1765A2"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36</w:t>
            </w:r>
          </w:p>
        </w:tc>
        <w:tc>
          <w:tcPr>
            <w:tcW w:w="5282" w:type="dxa"/>
          </w:tcPr>
          <w:p w14:paraId="0BA2D6CA" w14:textId="77777777" w:rsidR="00893A4C" w:rsidRPr="00893A4C" w:rsidRDefault="00893A4C" w:rsidP="00893A4C">
            <w:pPr>
              <w:spacing w:after="160" w:line="278" w:lineRule="auto"/>
              <w:jc w:val="both"/>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 xml:space="preserve">Gra językowa na bazie kart konwersacyjnych, wspierająca rozwój umiejętności mówienia po angielsku na poziomach średnio zaawansowanym i zaawansowanym (B1–C1), przeznaczona dla nastolatków, młodzieży i dorosłych. Gra umożliwia rozwijanie kompetencji komunikacyjnych, argumentacji i konwersacji poprzez zadania typu A, B, C w sześciu działach tematycznych: </w:t>
            </w:r>
            <w:proofErr w:type="spellStart"/>
            <w:r w:rsidRPr="00893A4C">
              <w:rPr>
                <w:rFonts w:ascii="Times New Roman" w:eastAsiaTheme="minorHAnsi" w:hAnsi="Times New Roman"/>
                <w:kern w:val="2"/>
                <w14:ligatures w14:val="standardContextual"/>
              </w:rPr>
              <w:t>superpowers</w:t>
            </w:r>
            <w:proofErr w:type="spellEnd"/>
            <w:r w:rsidRPr="00893A4C">
              <w:rPr>
                <w:rFonts w:ascii="Times New Roman" w:eastAsiaTheme="minorHAnsi" w:hAnsi="Times New Roman"/>
                <w:kern w:val="2"/>
                <w14:ligatures w14:val="standardContextual"/>
              </w:rPr>
              <w:t xml:space="preserve">, </w:t>
            </w:r>
            <w:proofErr w:type="spellStart"/>
            <w:r w:rsidRPr="00893A4C">
              <w:rPr>
                <w:rFonts w:ascii="Times New Roman" w:eastAsiaTheme="minorHAnsi" w:hAnsi="Times New Roman"/>
                <w:kern w:val="2"/>
                <w14:ligatures w14:val="standardContextual"/>
              </w:rPr>
              <w:t>annoying</w:t>
            </w:r>
            <w:proofErr w:type="spellEnd"/>
            <w:r w:rsidRPr="00893A4C">
              <w:rPr>
                <w:rFonts w:ascii="Times New Roman" w:eastAsiaTheme="minorHAnsi" w:hAnsi="Times New Roman"/>
                <w:kern w:val="2"/>
                <w14:ligatures w14:val="standardContextual"/>
              </w:rPr>
              <w:t xml:space="preserve"> </w:t>
            </w:r>
            <w:proofErr w:type="spellStart"/>
            <w:r w:rsidRPr="00893A4C">
              <w:rPr>
                <w:rFonts w:ascii="Times New Roman" w:eastAsiaTheme="minorHAnsi" w:hAnsi="Times New Roman"/>
                <w:kern w:val="2"/>
                <w14:ligatures w14:val="standardContextual"/>
              </w:rPr>
              <w:t>things</w:t>
            </w:r>
            <w:proofErr w:type="spellEnd"/>
            <w:r w:rsidRPr="00893A4C">
              <w:rPr>
                <w:rFonts w:ascii="Times New Roman" w:eastAsiaTheme="minorHAnsi" w:hAnsi="Times New Roman"/>
                <w:kern w:val="2"/>
                <w14:ligatures w14:val="standardContextual"/>
              </w:rPr>
              <w:t xml:space="preserve">, </w:t>
            </w:r>
            <w:proofErr w:type="spellStart"/>
            <w:r w:rsidRPr="00893A4C">
              <w:rPr>
                <w:rFonts w:ascii="Times New Roman" w:eastAsiaTheme="minorHAnsi" w:hAnsi="Times New Roman"/>
                <w:kern w:val="2"/>
                <w14:ligatures w14:val="standardContextual"/>
              </w:rPr>
              <w:t>wishes</w:t>
            </w:r>
            <w:proofErr w:type="spellEnd"/>
            <w:r w:rsidRPr="00893A4C">
              <w:rPr>
                <w:rFonts w:ascii="Times New Roman" w:eastAsiaTheme="minorHAnsi" w:hAnsi="Times New Roman"/>
                <w:kern w:val="2"/>
                <w14:ligatures w14:val="standardContextual"/>
              </w:rPr>
              <w:t xml:space="preserve">, </w:t>
            </w:r>
            <w:proofErr w:type="spellStart"/>
            <w:r w:rsidRPr="00893A4C">
              <w:rPr>
                <w:rFonts w:ascii="Times New Roman" w:eastAsiaTheme="minorHAnsi" w:hAnsi="Times New Roman"/>
                <w:kern w:val="2"/>
                <w14:ligatures w14:val="standardContextual"/>
              </w:rPr>
              <w:t>opinions</w:t>
            </w:r>
            <w:proofErr w:type="spellEnd"/>
            <w:r w:rsidRPr="00893A4C">
              <w:rPr>
                <w:rFonts w:ascii="Times New Roman" w:eastAsiaTheme="minorHAnsi" w:hAnsi="Times New Roman"/>
                <w:kern w:val="2"/>
                <w14:ligatures w14:val="standardContextual"/>
              </w:rPr>
              <w:t xml:space="preserve">, </w:t>
            </w:r>
            <w:proofErr w:type="spellStart"/>
            <w:r w:rsidRPr="00893A4C">
              <w:rPr>
                <w:rFonts w:ascii="Times New Roman" w:eastAsiaTheme="minorHAnsi" w:hAnsi="Times New Roman"/>
                <w:kern w:val="2"/>
                <w14:ligatures w14:val="standardContextual"/>
              </w:rPr>
              <w:t>fears</w:t>
            </w:r>
            <w:proofErr w:type="spellEnd"/>
            <w:r w:rsidRPr="00893A4C">
              <w:rPr>
                <w:rFonts w:ascii="Times New Roman" w:eastAsiaTheme="minorHAnsi" w:hAnsi="Times New Roman"/>
                <w:kern w:val="2"/>
                <w14:ligatures w14:val="standardContextual"/>
              </w:rPr>
              <w:t xml:space="preserve"> oraz </w:t>
            </w:r>
            <w:proofErr w:type="spellStart"/>
            <w:r w:rsidRPr="00893A4C">
              <w:rPr>
                <w:rFonts w:ascii="Times New Roman" w:eastAsiaTheme="minorHAnsi" w:hAnsi="Times New Roman"/>
                <w:kern w:val="2"/>
                <w14:ligatures w14:val="standardContextual"/>
              </w:rPr>
              <w:t>never</w:t>
            </w:r>
            <w:proofErr w:type="spellEnd"/>
            <w:r w:rsidRPr="00893A4C">
              <w:rPr>
                <w:rFonts w:ascii="Times New Roman" w:eastAsiaTheme="minorHAnsi" w:hAnsi="Times New Roman"/>
                <w:kern w:val="2"/>
                <w14:ligatures w14:val="standardContextual"/>
              </w:rPr>
              <w:t xml:space="preserve"> </w:t>
            </w:r>
            <w:proofErr w:type="spellStart"/>
            <w:r w:rsidRPr="00893A4C">
              <w:rPr>
                <w:rFonts w:ascii="Times New Roman" w:eastAsiaTheme="minorHAnsi" w:hAnsi="Times New Roman"/>
                <w:kern w:val="2"/>
                <w14:ligatures w14:val="standardContextual"/>
              </w:rPr>
              <w:t>ever</w:t>
            </w:r>
            <w:proofErr w:type="spellEnd"/>
            <w:r w:rsidRPr="00893A4C">
              <w:rPr>
                <w:rFonts w:ascii="Times New Roman" w:eastAsiaTheme="minorHAnsi" w:hAnsi="Times New Roman"/>
                <w:kern w:val="2"/>
                <w14:ligatures w14:val="standardContextual"/>
              </w:rPr>
              <w:t>.</w:t>
            </w:r>
            <w:r w:rsidRPr="00893A4C">
              <w:rPr>
                <w:rFonts w:ascii="Times New Roman" w:eastAsiaTheme="minorHAnsi" w:hAnsi="Times New Roman"/>
                <w:kern w:val="2"/>
                <w14:ligatures w14:val="standardContextual"/>
              </w:rPr>
              <w:br/>
              <w:t>Zestaw pozwala na naukę zarówno w formie konwersacyjnej, jak i w rozgrywce punktowej, sprzyjając wymianie poglądów, dyskusji w grupie oraz aktywności społecznej uczestników. Może być wykorzystywany w szkołach ponadpodstawowych, szkołach językowych, w domu oraz w edukacji zdalnej w uproszczonej formie. Zawartość zestawu: 132 karty, kostka do gry, 60 żetonów, instrukcja w języku angielskim. Format kart 21,5 × 14,5 cm, opakowanie kartonowe. Gra opracowana zgodnie z kryteriami CEFR dla poziomów B1–C1.</w:t>
            </w:r>
          </w:p>
        </w:tc>
        <w:tc>
          <w:tcPr>
            <w:tcW w:w="850" w:type="dxa"/>
          </w:tcPr>
          <w:p w14:paraId="0116BC2F"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1</w:t>
            </w:r>
          </w:p>
        </w:tc>
        <w:tc>
          <w:tcPr>
            <w:tcW w:w="1275" w:type="dxa"/>
          </w:tcPr>
          <w:p w14:paraId="603DFE69"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4555E9D9"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3098CB7C" w14:textId="77777777" w:rsidTr="004175F3">
        <w:trPr>
          <w:trHeight w:val="324"/>
        </w:trPr>
        <w:tc>
          <w:tcPr>
            <w:tcW w:w="697" w:type="dxa"/>
          </w:tcPr>
          <w:p w14:paraId="6945A3B8"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37</w:t>
            </w:r>
          </w:p>
        </w:tc>
        <w:tc>
          <w:tcPr>
            <w:tcW w:w="5282" w:type="dxa"/>
          </w:tcPr>
          <w:p w14:paraId="2FA6A64E" w14:textId="77777777" w:rsidR="00893A4C" w:rsidRPr="00893A4C" w:rsidRDefault="00893A4C" w:rsidP="00893A4C">
            <w:pPr>
              <w:spacing w:after="160" w:line="278" w:lineRule="auto"/>
              <w:jc w:val="both"/>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 xml:space="preserve">KARTY KONWERSACYJNE </w:t>
            </w:r>
            <w:proofErr w:type="spellStart"/>
            <w:r w:rsidRPr="00893A4C">
              <w:rPr>
                <w:rFonts w:ascii="Times New Roman" w:eastAsiaTheme="minorHAnsi" w:hAnsi="Times New Roman"/>
                <w:kern w:val="2"/>
                <w14:ligatures w14:val="standardContextual"/>
              </w:rPr>
              <w:t>Let's</w:t>
            </w:r>
            <w:proofErr w:type="spellEnd"/>
            <w:r w:rsidRPr="00893A4C">
              <w:rPr>
                <w:rFonts w:ascii="Times New Roman" w:eastAsiaTheme="minorHAnsi" w:hAnsi="Times New Roman"/>
                <w:kern w:val="2"/>
                <w14:ligatures w14:val="standardContextual"/>
              </w:rPr>
              <w:t xml:space="preserve"> Talk EASY PEASY - Zestaw edukacyjny do nauki języka angielskiego dla dzieci w wieku przedszkolnym i wczesnoszkolnym, obejmujący 16 drewnianych kości edukacyjnych (4×4 cm, zaokrąglone rogi) podzielonych na działy leksykalne oraz mini zeszyt ćwiczeń.</w:t>
            </w:r>
            <w:r w:rsidRPr="00893A4C">
              <w:rPr>
                <w:rFonts w:ascii="Times New Roman" w:eastAsiaTheme="minorHAnsi" w:hAnsi="Times New Roman"/>
                <w:kern w:val="2"/>
                <w14:ligatures w14:val="standardContextual"/>
              </w:rPr>
              <w:br/>
              <w:t>Kości i ćwiczenia umożliwiają naukę podstawowego słownictwa i gramatyki poprzez zabawę, ruch i współpracę, wspierając przy tym rozwój umiejętności społecznych, koncentracji, spontanicznej autorefleksji i wyrażania emocji. Zeszyt ćwiczeń zawiera zadania do pisania, rysowania, kolorowania, literowania, mapy wyrazowe, ćwiczenia TPR oraz aktywności grupowe i indywidualne, które mogą być wykorzystywane w klasie lub w domu.</w:t>
            </w:r>
          </w:p>
        </w:tc>
        <w:tc>
          <w:tcPr>
            <w:tcW w:w="850" w:type="dxa"/>
          </w:tcPr>
          <w:p w14:paraId="2746DDB9"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1</w:t>
            </w:r>
          </w:p>
        </w:tc>
        <w:tc>
          <w:tcPr>
            <w:tcW w:w="1275" w:type="dxa"/>
          </w:tcPr>
          <w:p w14:paraId="64B4BE73"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04FB1D1E"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3A48B5E8" w14:textId="77777777" w:rsidTr="004175F3">
        <w:trPr>
          <w:trHeight w:val="324"/>
        </w:trPr>
        <w:tc>
          <w:tcPr>
            <w:tcW w:w="697" w:type="dxa"/>
          </w:tcPr>
          <w:p w14:paraId="70C327BD"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38</w:t>
            </w:r>
          </w:p>
        </w:tc>
        <w:tc>
          <w:tcPr>
            <w:tcW w:w="5282" w:type="dxa"/>
          </w:tcPr>
          <w:p w14:paraId="09D879BF" w14:textId="77777777" w:rsidR="00893A4C" w:rsidRPr="00893A4C" w:rsidRDefault="00893A4C" w:rsidP="00893A4C">
            <w:pPr>
              <w:spacing w:after="160" w:line="278" w:lineRule="auto"/>
              <w:jc w:val="both"/>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 xml:space="preserve">Komunikacja, emocje, relacje. Karty pracy - Zestaw kart dydaktycznych wspierających rozwój umiejętności społecznych, komunikacji i świadomości emocjonalnej, przeznaczony dla dzieci w wieku 7–14 lat, w tym z niepełnosprawnością intelektualną. Materiał jest odpowiedni do pracy indywidualnej i grupowej, w tym podczas zajęć terapeutycznych i Treningu Umiejętności Społecznych (TUS).Karty podzielone są na trzy części: emocje i świadomość (rozwój umiejętności rozpoznawania i wyrażania uczuć),  komunikacja (nauka zadawania pytań i wyrażania myśli) oraz relacje i sytuacje społeczne (interpretacja sytuacji, myślenie </w:t>
            </w:r>
            <w:proofErr w:type="spellStart"/>
            <w:r w:rsidRPr="00893A4C">
              <w:rPr>
                <w:rFonts w:ascii="Times New Roman" w:eastAsiaTheme="minorHAnsi" w:hAnsi="Times New Roman"/>
                <w:kern w:val="2"/>
                <w14:ligatures w14:val="standardContextual"/>
              </w:rPr>
              <w:t>przyczynowo-skutkowe</w:t>
            </w:r>
            <w:proofErr w:type="spellEnd"/>
            <w:r w:rsidRPr="00893A4C">
              <w:rPr>
                <w:rFonts w:ascii="Times New Roman" w:eastAsiaTheme="minorHAnsi" w:hAnsi="Times New Roman"/>
                <w:kern w:val="2"/>
                <w14:ligatures w14:val="standardContextual"/>
              </w:rPr>
              <w:t xml:space="preserve">, </w:t>
            </w:r>
            <w:r w:rsidRPr="00893A4C">
              <w:rPr>
                <w:rFonts w:ascii="Times New Roman" w:eastAsiaTheme="minorHAnsi" w:hAnsi="Times New Roman"/>
                <w:kern w:val="2"/>
                <w14:ligatures w14:val="standardContextual"/>
              </w:rPr>
              <w:lastRenderedPageBreak/>
              <w:t>zrozumienie relacji z innymi). Zestaw pozwala ćwiczyć kompetencje społeczne, wyrażanie własnego zdania, ustalanie granic i zrozumienie potrzeb innych osób, a poziom trudności kart umożliwia indywidualne dopasowanie zadań.</w:t>
            </w:r>
          </w:p>
        </w:tc>
        <w:tc>
          <w:tcPr>
            <w:tcW w:w="850" w:type="dxa"/>
          </w:tcPr>
          <w:p w14:paraId="50C34012"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lastRenderedPageBreak/>
              <w:t>1</w:t>
            </w:r>
          </w:p>
        </w:tc>
        <w:tc>
          <w:tcPr>
            <w:tcW w:w="1275" w:type="dxa"/>
          </w:tcPr>
          <w:p w14:paraId="6D7DC868"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0D7E1DC5"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2B2C524D" w14:textId="77777777" w:rsidTr="004175F3">
        <w:trPr>
          <w:trHeight w:val="324"/>
        </w:trPr>
        <w:tc>
          <w:tcPr>
            <w:tcW w:w="697" w:type="dxa"/>
          </w:tcPr>
          <w:p w14:paraId="1277469F"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39</w:t>
            </w:r>
          </w:p>
        </w:tc>
        <w:tc>
          <w:tcPr>
            <w:tcW w:w="5282" w:type="dxa"/>
          </w:tcPr>
          <w:p w14:paraId="04DD043A" w14:textId="77777777" w:rsidR="00893A4C" w:rsidRPr="00893A4C" w:rsidRDefault="00893A4C" w:rsidP="00893A4C">
            <w:pPr>
              <w:spacing w:after="160" w:line="278" w:lineRule="auto"/>
              <w:jc w:val="both"/>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 xml:space="preserve">Zestaw 101 kart zabaw wspierających regulację emocji, przeznaczony dla dzieci od 4 roku życia. Karty rozwijają umiejętność radzenia sobie z emocjami i budowania inteligencji emocjonalnej poprzez trzy kategorie zabaw: oddechowe (karty niebieskie), ruchowe i relaksacyjne (karty żółte) oraz </w:t>
            </w:r>
            <w:proofErr w:type="spellStart"/>
            <w:r w:rsidRPr="00893A4C">
              <w:rPr>
                <w:rFonts w:ascii="Times New Roman" w:eastAsiaTheme="minorHAnsi" w:hAnsi="Times New Roman"/>
                <w:kern w:val="2"/>
                <w14:ligatures w14:val="standardContextual"/>
              </w:rPr>
              <w:t>uważnościowe</w:t>
            </w:r>
            <w:proofErr w:type="spellEnd"/>
            <w:r w:rsidRPr="00893A4C">
              <w:rPr>
                <w:rFonts w:ascii="Times New Roman" w:eastAsiaTheme="minorHAnsi" w:hAnsi="Times New Roman"/>
                <w:kern w:val="2"/>
                <w14:ligatures w14:val="standardContextual"/>
              </w:rPr>
              <w:t xml:space="preserve"> (karty zielone). Materiał można wykorzystywać indywidualnie lub grupowo, w domu, gabinecie terapeutycznym lub podczas zajęć warsztatowych. Zestaw zawiera instrukcję i wskazówki umożliwiające wielokrotne zastosowanie kart w pracy edukacyjnej i terapeutycznej.</w:t>
            </w:r>
          </w:p>
        </w:tc>
        <w:tc>
          <w:tcPr>
            <w:tcW w:w="850" w:type="dxa"/>
          </w:tcPr>
          <w:p w14:paraId="2DF7DCF8"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1</w:t>
            </w:r>
          </w:p>
        </w:tc>
        <w:tc>
          <w:tcPr>
            <w:tcW w:w="1275" w:type="dxa"/>
          </w:tcPr>
          <w:p w14:paraId="18E4DCE7"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1EFB5659"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6F6530F4" w14:textId="77777777" w:rsidTr="004175F3">
        <w:trPr>
          <w:trHeight w:val="324"/>
        </w:trPr>
        <w:tc>
          <w:tcPr>
            <w:tcW w:w="697" w:type="dxa"/>
          </w:tcPr>
          <w:p w14:paraId="5E5E0FC4"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40</w:t>
            </w:r>
          </w:p>
        </w:tc>
        <w:tc>
          <w:tcPr>
            <w:tcW w:w="5282" w:type="dxa"/>
          </w:tcPr>
          <w:p w14:paraId="598FAA18" w14:textId="77777777" w:rsidR="00893A4C" w:rsidRPr="00893A4C" w:rsidRDefault="00893A4C" w:rsidP="00893A4C">
            <w:pPr>
              <w:spacing w:after="160" w:line="278" w:lineRule="auto"/>
              <w:jc w:val="both"/>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Zestaw kart dydaktycznych wspierających rozwój kompetencji społeczno-emocjonalnych, komunikacyjnych oraz umiejętności współpracy w grupie, przeznaczony dla dzieci i młodzieży w różnych przedziałach wiekowych. Zestaw obejmuje cztery moduły:</w:t>
            </w:r>
            <w:r w:rsidRPr="00893A4C">
              <w:rPr>
                <w:rFonts w:ascii="Times New Roman" w:eastAsiaTheme="minorHAnsi" w:hAnsi="Times New Roman"/>
                <w:kern w:val="2"/>
                <w14:ligatures w14:val="standardContextual"/>
              </w:rPr>
              <w:br/>
              <w:t>Karty komunikacji – 54 karty w czterech kategoriach (gesty, mimika, ton, symbole) z instrukcją i różnymi zadaniami, rozwijające umiejętności komunikacji werbalnej i niewerbalnej. Karty interakcji – 53 karty podzielone na pięć typów zadań (zapytaj, odpowiedz, zmiana, wymień, niespodzianka) wspierające współpracę rówieśniczą i rozwój umiejętności społecznych u dzieci 7–13 lat. Karty współpracy – 52 karty w dwóch taliach: talia z szybkimi zadaniami dla grupy i talia dla trenera z pomysłami na projekty grupowe, rozwijające współdziałanie w grupach 4–13 lat. Karty dobrostanu – 48 kart wspierających rozwój w ośmiu obszarach kompetencji społecznych (m.in. emocje, współpraca, asertywność) dla dzieci i młodzieży 10–16 lat, z instrukcją do pracy indywidualnej i grupowej.</w:t>
            </w:r>
            <w:r w:rsidRPr="00893A4C">
              <w:rPr>
                <w:rFonts w:ascii="Times New Roman" w:eastAsiaTheme="minorHAnsi" w:hAnsi="Times New Roman"/>
                <w:kern w:val="2"/>
                <w14:ligatures w14:val="standardContextual"/>
              </w:rPr>
              <w:br/>
              <w:t>Każdy moduł jest wielokrotnego użytku i pozwala na wszechstronne zastosowanie w zajęciach edukacyjnych, wychowawczych i terapeutycznych.</w:t>
            </w:r>
          </w:p>
        </w:tc>
        <w:tc>
          <w:tcPr>
            <w:tcW w:w="850" w:type="dxa"/>
          </w:tcPr>
          <w:p w14:paraId="777D3707"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1</w:t>
            </w:r>
          </w:p>
        </w:tc>
        <w:tc>
          <w:tcPr>
            <w:tcW w:w="1275" w:type="dxa"/>
          </w:tcPr>
          <w:p w14:paraId="19B4FF5B"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4FB50A9E"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52E0C67B" w14:textId="77777777" w:rsidTr="004175F3">
        <w:trPr>
          <w:trHeight w:val="324"/>
        </w:trPr>
        <w:tc>
          <w:tcPr>
            <w:tcW w:w="697" w:type="dxa"/>
          </w:tcPr>
          <w:p w14:paraId="1813ED84"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41</w:t>
            </w:r>
          </w:p>
        </w:tc>
        <w:tc>
          <w:tcPr>
            <w:tcW w:w="5282" w:type="dxa"/>
          </w:tcPr>
          <w:p w14:paraId="4F8B9195" w14:textId="77777777" w:rsidR="00893A4C" w:rsidRPr="00893A4C" w:rsidRDefault="00893A4C" w:rsidP="00893A4C">
            <w:pPr>
              <w:spacing w:after="160" w:line="278" w:lineRule="auto"/>
              <w:jc w:val="both"/>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 xml:space="preserve">Gra zręcznościowa zespołowa wykonana z drewna, metalu i tkaniny, przeznaczona dla 2–12 użytkowników. Celem gry jest wspólne budowanie konstrukcji z drewnianych elementów przy użyciu systemu sznurków i uchwytu, co wymaga współpracy oraz koordynacji ruchowej uczestników. Zestaw zawiera elementy drewniane, mechanizm z uchwytem i sznurkami oraz torbę do przechowywania. Produkt wspiera rozwój umiejętności </w:t>
            </w:r>
            <w:r w:rsidRPr="00893A4C">
              <w:rPr>
                <w:rFonts w:ascii="Times New Roman" w:eastAsiaTheme="minorHAnsi" w:hAnsi="Times New Roman"/>
                <w:kern w:val="2"/>
                <w14:ligatures w14:val="standardContextual"/>
              </w:rPr>
              <w:lastRenderedPageBreak/>
              <w:t>społecznych, koncentracji oraz koordynacji wzrokowo-ruchowej. Wymiary konstrukcji: ok. 5,5 × 5,5 × 19 cm.</w:t>
            </w:r>
          </w:p>
        </w:tc>
        <w:tc>
          <w:tcPr>
            <w:tcW w:w="850" w:type="dxa"/>
          </w:tcPr>
          <w:p w14:paraId="385CD68C"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lastRenderedPageBreak/>
              <w:t>1</w:t>
            </w:r>
          </w:p>
        </w:tc>
        <w:tc>
          <w:tcPr>
            <w:tcW w:w="1275" w:type="dxa"/>
          </w:tcPr>
          <w:p w14:paraId="5C9F9565"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71332A0A"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34DEA2A1" w14:textId="77777777" w:rsidTr="004175F3">
        <w:trPr>
          <w:trHeight w:val="324"/>
        </w:trPr>
        <w:tc>
          <w:tcPr>
            <w:tcW w:w="697" w:type="dxa"/>
          </w:tcPr>
          <w:p w14:paraId="142B3879"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42</w:t>
            </w:r>
          </w:p>
        </w:tc>
        <w:tc>
          <w:tcPr>
            <w:tcW w:w="5282" w:type="dxa"/>
          </w:tcPr>
          <w:p w14:paraId="592240FD" w14:textId="77777777" w:rsidR="00893A4C" w:rsidRPr="00893A4C" w:rsidRDefault="00893A4C" w:rsidP="00893A4C">
            <w:pPr>
              <w:spacing w:after="160" w:line="278" w:lineRule="auto"/>
              <w:jc w:val="both"/>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Gra edukacyjna Poznajmy się wspierająca rozwój kompetencji społeczno-emocjonalnych, przeznaczona do pracy z uczniami w środowisku szkolnym, w tym podczas zajęć wychowawczych oraz socjoterapeutycznych. Materiał dydaktyczny umożliwia kształtowanie umiejętności rozpoznawania emocji, budowania relacji, rozwijania samoświadomości oraz rozwiązywania problemów.</w:t>
            </w:r>
            <w:r w:rsidRPr="00893A4C">
              <w:rPr>
                <w:rFonts w:ascii="Times New Roman" w:eastAsiaTheme="minorHAnsi" w:hAnsi="Times New Roman"/>
                <w:kern w:val="2"/>
                <w14:ligatures w14:val="standardContextual"/>
              </w:rPr>
              <w:br/>
              <w:t>Zestaw zawiera instrukcję, 48 kart podzielonych na kategorie tematyczne oraz 12 kart specjalnych. Gra przeznaczona jest dla uczniów od klasy IV szkoły podstawowej, w tym dla osób wymagających wsparcia w zakresie funkcjonowania społecznego.</w:t>
            </w:r>
          </w:p>
        </w:tc>
        <w:tc>
          <w:tcPr>
            <w:tcW w:w="850" w:type="dxa"/>
          </w:tcPr>
          <w:p w14:paraId="12240B3F"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1</w:t>
            </w:r>
          </w:p>
        </w:tc>
        <w:tc>
          <w:tcPr>
            <w:tcW w:w="1275" w:type="dxa"/>
          </w:tcPr>
          <w:p w14:paraId="0BD0217E"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4AA19BB1"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270A08F8" w14:textId="77777777" w:rsidTr="004175F3">
        <w:trPr>
          <w:trHeight w:val="324"/>
        </w:trPr>
        <w:tc>
          <w:tcPr>
            <w:tcW w:w="697" w:type="dxa"/>
          </w:tcPr>
          <w:p w14:paraId="5C11BF59"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43</w:t>
            </w:r>
          </w:p>
        </w:tc>
        <w:tc>
          <w:tcPr>
            <w:tcW w:w="5282" w:type="dxa"/>
          </w:tcPr>
          <w:p w14:paraId="2FE69066" w14:textId="77777777" w:rsidR="00893A4C" w:rsidRPr="00893A4C" w:rsidRDefault="00893A4C" w:rsidP="00893A4C">
            <w:pPr>
              <w:spacing w:after="160" w:line="278" w:lineRule="auto"/>
              <w:jc w:val="both"/>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Zestaw kart edukacyjnych wspierających naukę ułamków zwykłych poprzez aktywne metody pracy i gry dydaktyczne. Materiał umożliwia ćwiczenie porównywania, rozszerzania, skracania oraz wykonywania działań na ułamkach (dodawanie, odejmowanie, mnożenie, dzielenie). Zestaw w wariancie rozszerzonym zawiera różnorodne gry i aktywności dydaktyczne o zróżnicowanym poziomie trudności. Przeznaczony dla uczniów klas IV szkoły podstawowej i wyższych</w:t>
            </w:r>
          </w:p>
        </w:tc>
        <w:tc>
          <w:tcPr>
            <w:tcW w:w="850" w:type="dxa"/>
          </w:tcPr>
          <w:p w14:paraId="3B3E7571"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2</w:t>
            </w:r>
          </w:p>
        </w:tc>
        <w:tc>
          <w:tcPr>
            <w:tcW w:w="1275" w:type="dxa"/>
          </w:tcPr>
          <w:p w14:paraId="662C4877"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4BE4E3F5"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79E2F88B" w14:textId="77777777" w:rsidTr="004175F3">
        <w:trPr>
          <w:trHeight w:val="324"/>
        </w:trPr>
        <w:tc>
          <w:tcPr>
            <w:tcW w:w="697" w:type="dxa"/>
          </w:tcPr>
          <w:p w14:paraId="4706D933"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44</w:t>
            </w:r>
          </w:p>
        </w:tc>
        <w:tc>
          <w:tcPr>
            <w:tcW w:w="5282" w:type="dxa"/>
          </w:tcPr>
          <w:p w14:paraId="6CC761D3" w14:textId="77777777" w:rsidR="00893A4C" w:rsidRPr="00893A4C" w:rsidRDefault="00893A4C" w:rsidP="00893A4C">
            <w:pPr>
              <w:spacing w:after="160" w:line="278" w:lineRule="auto"/>
              <w:jc w:val="both"/>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 xml:space="preserve">Gra edukacyjna typu bingo wspierająca rozwój umiejętności matematycznych, w szczególności liczenia w pamięci w zakresie mnożenia i dzielenia </w:t>
            </w:r>
            <w:proofErr w:type="spellStart"/>
            <w:r w:rsidRPr="00893A4C">
              <w:rPr>
                <w:rFonts w:ascii="Times New Roman" w:eastAsiaTheme="minorHAnsi" w:hAnsi="Times New Roman"/>
                <w:kern w:val="2"/>
                <w14:ligatures w14:val="standardContextual"/>
              </w:rPr>
              <w:t>dp</w:t>
            </w:r>
            <w:proofErr w:type="spellEnd"/>
            <w:r w:rsidRPr="00893A4C">
              <w:rPr>
                <w:rFonts w:ascii="Times New Roman" w:eastAsiaTheme="minorHAnsi" w:hAnsi="Times New Roman"/>
                <w:kern w:val="2"/>
                <w14:ligatures w14:val="standardContextual"/>
              </w:rPr>
              <w:t xml:space="preserve"> 100. Zestaw zawiera 2 komplety po 6 kart do gry oraz 108 kartoników z działaniami matematycznymi. Przeznaczony dla 2–6 użytkowników, odpowiedni dla dzieci od 7 roku życia.</w:t>
            </w:r>
          </w:p>
        </w:tc>
        <w:tc>
          <w:tcPr>
            <w:tcW w:w="850" w:type="dxa"/>
          </w:tcPr>
          <w:p w14:paraId="3800D5DC"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2</w:t>
            </w:r>
          </w:p>
        </w:tc>
        <w:tc>
          <w:tcPr>
            <w:tcW w:w="1275" w:type="dxa"/>
          </w:tcPr>
          <w:p w14:paraId="13193CA8"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4A38A371"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0669B661" w14:textId="77777777" w:rsidTr="004175F3">
        <w:trPr>
          <w:trHeight w:val="324"/>
        </w:trPr>
        <w:tc>
          <w:tcPr>
            <w:tcW w:w="697" w:type="dxa"/>
          </w:tcPr>
          <w:p w14:paraId="1365EC2D"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45</w:t>
            </w:r>
          </w:p>
        </w:tc>
        <w:tc>
          <w:tcPr>
            <w:tcW w:w="5282" w:type="dxa"/>
          </w:tcPr>
          <w:p w14:paraId="4822419B" w14:textId="77777777" w:rsidR="00893A4C" w:rsidRPr="00893A4C" w:rsidRDefault="00893A4C" w:rsidP="00893A4C">
            <w:pPr>
              <w:spacing w:after="160" w:line="278" w:lineRule="auto"/>
              <w:jc w:val="both"/>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Zestaw demonstracyjny do nauki ułamków w formie magnetycznych elementów dydaktycznych przedstawiających podział całości na części. Zestaw obejmuje modele podzielone na różną liczbę segmentów, umożliwiające prezentację ułamków zwykłych, takich jak 1/2, 1/3, 1/4, 1/6 i 1/8, oraz pojęcia całości. Elementy wykonane są w formie okręgów o średnicy ok. 20 cm, z możliwością mocowania na powierzchniach magnetycznych. Łącznie zestaw zawiera 24 części.</w:t>
            </w:r>
          </w:p>
        </w:tc>
        <w:tc>
          <w:tcPr>
            <w:tcW w:w="850" w:type="dxa"/>
          </w:tcPr>
          <w:p w14:paraId="653BA72E"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1</w:t>
            </w:r>
          </w:p>
        </w:tc>
        <w:tc>
          <w:tcPr>
            <w:tcW w:w="1275" w:type="dxa"/>
          </w:tcPr>
          <w:p w14:paraId="3C8981AD"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0240AE41"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06B7A985" w14:textId="77777777" w:rsidTr="004175F3">
        <w:trPr>
          <w:trHeight w:val="324"/>
        </w:trPr>
        <w:tc>
          <w:tcPr>
            <w:tcW w:w="697" w:type="dxa"/>
          </w:tcPr>
          <w:p w14:paraId="208654A6"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46</w:t>
            </w:r>
          </w:p>
        </w:tc>
        <w:tc>
          <w:tcPr>
            <w:tcW w:w="5282" w:type="dxa"/>
          </w:tcPr>
          <w:p w14:paraId="5C6A319F" w14:textId="77777777" w:rsidR="00893A4C" w:rsidRPr="00893A4C" w:rsidRDefault="00893A4C" w:rsidP="00893A4C">
            <w:pPr>
              <w:spacing w:after="160" w:line="278" w:lineRule="auto"/>
              <w:jc w:val="both"/>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 xml:space="preserve">Zestaw edukacyjnych do nauki dodawania i odejmowania do 100. Układanek dydaktycznych przeznaczonych do nauki poprzez zabawę, opartych na zasadzie dopasowywania elementów o trójkątnym kształcie. Układanki rozwijają zdolności percepcyjne, logiczne myślenie, spostrzegawczość oraz wspierają naukę podstawowych pojęć matematycznych, w tym dodawania i odejmowania w zakresie do 100. Zestaw zawiera 2 </w:t>
            </w:r>
            <w:r w:rsidRPr="00893A4C">
              <w:rPr>
                <w:rFonts w:ascii="Times New Roman" w:eastAsiaTheme="minorHAnsi" w:hAnsi="Times New Roman"/>
                <w:kern w:val="2"/>
                <w14:ligatures w14:val="standardContextual"/>
              </w:rPr>
              <w:lastRenderedPageBreak/>
              <w:t>układanki po 24 elementy o wymiarze ok. 6 cm oraz wkładkę do sortowania. Przewidziany dla 1–4 użytkowników, o zróżnicowanym poziomie trudności, odpowiedni dla dzieci w wieku wczesnoszkolnym.</w:t>
            </w:r>
          </w:p>
        </w:tc>
        <w:tc>
          <w:tcPr>
            <w:tcW w:w="850" w:type="dxa"/>
          </w:tcPr>
          <w:p w14:paraId="70FE7CBC"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lastRenderedPageBreak/>
              <w:t>2</w:t>
            </w:r>
          </w:p>
        </w:tc>
        <w:tc>
          <w:tcPr>
            <w:tcW w:w="1275" w:type="dxa"/>
          </w:tcPr>
          <w:p w14:paraId="6E0423E4"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2FE1DBBD"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222B128D" w14:textId="77777777" w:rsidTr="004175F3">
        <w:trPr>
          <w:trHeight w:val="324"/>
        </w:trPr>
        <w:tc>
          <w:tcPr>
            <w:tcW w:w="697" w:type="dxa"/>
          </w:tcPr>
          <w:p w14:paraId="4EEF0E36"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47</w:t>
            </w:r>
          </w:p>
        </w:tc>
        <w:tc>
          <w:tcPr>
            <w:tcW w:w="5282" w:type="dxa"/>
          </w:tcPr>
          <w:p w14:paraId="4400FE9D" w14:textId="77777777" w:rsidR="00893A4C" w:rsidRPr="00893A4C" w:rsidRDefault="00893A4C" w:rsidP="00893A4C">
            <w:pPr>
              <w:spacing w:after="160" w:line="278" w:lineRule="auto"/>
              <w:jc w:val="both"/>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Zestaw przyrządów tablicowych w wersji magnetycznej, wykonanych z trwałego tworzywa sztucznego, przeznaczonych do użytku dydaktycznego. W skład zestawu wchodzą: linijka o długości 100 cm, dwie ekierki (60°–30°–90° oraz 45°–45°–90°) o długości 60 cm, kątomierz, cyrkiel wyposażony w elementy magnetyczne oraz wskaźnik o długości 100 cm. Przyrządy (z wyjątkiem wskaźnika) posiadają właściwości magnetyczne, umożliwiające ich mocowanie na tablicy. Zestaw zawiera również tablicę z tworzywa sztucznego z uchwytami do przechowywania i zawieszania przyrządów. Elementy mogą być wykorzystywane zarówno na tablicy magnetycznej w trakcie zajęć, jak i przechowywane na tablicy pomocniczej.</w:t>
            </w:r>
          </w:p>
        </w:tc>
        <w:tc>
          <w:tcPr>
            <w:tcW w:w="850" w:type="dxa"/>
          </w:tcPr>
          <w:p w14:paraId="7534B46F"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3</w:t>
            </w:r>
          </w:p>
        </w:tc>
        <w:tc>
          <w:tcPr>
            <w:tcW w:w="1275" w:type="dxa"/>
          </w:tcPr>
          <w:p w14:paraId="01FAF9A5"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1447D109"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0CF308F3" w14:textId="77777777" w:rsidTr="004175F3">
        <w:trPr>
          <w:trHeight w:val="324"/>
        </w:trPr>
        <w:tc>
          <w:tcPr>
            <w:tcW w:w="9228" w:type="dxa"/>
            <w:gridSpan w:val="5"/>
          </w:tcPr>
          <w:p w14:paraId="69737241" w14:textId="77777777" w:rsidR="00893A4C" w:rsidRPr="00893A4C" w:rsidRDefault="00893A4C" w:rsidP="00893A4C">
            <w:pPr>
              <w:spacing w:after="160" w:line="259" w:lineRule="auto"/>
              <w:jc w:val="both"/>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SZKOŁA PODSTAWOWA IM. WACŁAWA KOZIMSKIEGO W KRASZEWIE</w:t>
            </w:r>
          </w:p>
        </w:tc>
      </w:tr>
      <w:tr w:rsidR="00893A4C" w:rsidRPr="00893A4C" w14:paraId="261B7C05" w14:textId="77777777" w:rsidTr="004175F3">
        <w:trPr>
          <w:trHeight w:val="324"/>
        </w:trPr>
        <w:tc>
          <w:tcPr>
            <w:tcW w:w="697" w:type="dxa"/>
          </w:tcPr>
          <w:p w14:paraId="62AB03E1"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1</w:t>
            </w:r>
          </w:p>
        </w:tc>
        <w:tc>
          <w:tcPr>
            <w:tcW w:w="5282" w:type="dxa"/>
          </w:tcPr>
          <w:p w14:paraId="55C0B204" w14:textId="77777777" w:rsidR="00893A4C" w:rsidRPr="00893A4C" w:rsidRDefault="00893A4C" w:rsidP="00893A4C">
            <w:pPr>
              <w:spacing w:before="100" w:beforeAutospacing="1" w:after="100" w:afterAutospacing="1" w:line="240" w:lineRule="auto"/>
              <w:jc w:val="both"/>
              <w:rPr>
                <w:rFonts w:ascii="Times New Roman" w:hAnsi="Times New Roman"/>
                <w:lang w:eastAsia="pl-PL"/>
              </w:rPr>
            </w:pPr>
            <w:r w:rsidRPr="00893A4C">
              <w:rPr>
                <w:rFonts w:ascii="Times New Roman" w:hAnsi="Times New Roman"/>
                <w:lang w:eastAsia="pl-PL"/>
              </w:rPr>
              <w:t>zestaw aktywizujący do wszechstronnego rozwoju dziecka, przeznaczonego dla uczniów klas 1–6. Zestaw powinien wspierać rozwój motoryki małej, koncentracji, uwagi, pamięci, spostrzegawczości oraz logicznego myślenia. W skład zestawu powinny wchodzić interaktywne gry do pracy na tablicy multimedialnej, gry planszowe rozwijające umiejętności poznawcze, poradnik metodyczny dla nauczyciela, karty pracy do kopiowania oraz gotowe materiały edukacyjne do wykorzystania na zajęciach. Materiały muszą być wykonane z trwałych, bezpiecznych i nietoksycznych surowców, mieć kolorową i przyjazną dzieciom formę oraz być łatwe w użytkowaniu w warunkach szkolnych. Zestaw powinien posiadać certyfikat CE, spełniać normy bezpieczeństwa oraz być pozbawiony elementów niebezpiecznych. Całość powinna być zapakowana w praktyczny pojemnik lub opakowanie umożliwiające wygodne przechowywanie i przenoszenie.</w:t>
            </w:r>
          </w:p>
        </w:tc>
        <w:tc>
          <w:tcPr>
            <w:tcW w:w="850" w:type="dxa"/>
          </w:tcPr>
          <w:p w14:paraId="5C7A3724"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1</w:t>
            </w:r>
          </w:p>
        </w:tc>
        <w:tc>
          <w:tcPr>
            <w:tcW w:w="1275" w:type="dxa"/>
          </w:tcPr>
          <w:p w14:paraId="57A24B4D"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082FA00B"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17D2BA51" w14:textId="77777777" w:rsidTr="004175F3">
        <w:trPr>
          <w:trHeight w:val="324"/>
        </w:trPr>
        <w:tc>
          <w:tcPr>
            <w:tcW w:w="697" w:type="dxa"/>
          </w:tcPr>
          <w:p w14:paraId="0771A43C"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2</w:t>
            </w:r>
          </w:p>
        </w:tc>
        <w:tc>
          <w:tcPr>
            <w:tcW w:w="5282" w:type="dxa"/>
          </w:tcPr>
          <w:p w14:paraId="2DB65229" w14:textId="77777777" w:rsidR="00893A4C" w:rsidRPr="00893A4C" w:rsidRDefault="00893A4C" w:rsidP="00893A4C">
            <w:pPr>
              <w:spacing w:after="160" w:line="278" w:lineRule="auto"/>
              <w:jc w:val="both"/>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 xml:space="preserve">zestaw klocków edukacyjnych przeznaczonych do terapii ręki, integracji sensorycznej oraz zajęć rozwijających zdolności manualne, percepcję wzrokowo-ruchową, kreatywność, a także do podstaw robotyki. Zestawy powinny być dostosowane do dwóch grup wiekowych: uczniów klas 1–3 (większe elementy ułatwiające chwytanie) oraz klas 4–6 (mniejsze elementy wymagające większej precyzji). Klocki muszą być wykonane z bezpiecznych, nietoksycznych materiałów (plastik lub drewno), zgodnych z normami bezpieczeństwa zabawek. W zestawie dla młodszych dzieci wymagane są elementy o wielkości ok. 3–5 cm, natomiast dla starszych 1,5–3 cm. Całość powinna być wielokolorowa, o kontrastowych barwach, z różnorodnymi kształtami (m.in. sześciany, </w:t>
            </w:r>
            <w:r w:rsidRPr="00893A4C">
              <w:rPr>
                <w:rFonts w:ascii="Times New Roman" w:eastAsiaTheme="minorHAnsi" w:hAnsi="Times New Roman"/>
                <w:kern w:val="2"/>
                <w14:ligatures w14:val="standardContextual"/>
              </w:rPr>
              <w:lastRenderedPageBreak/>
              <w:t>walce, płytki, elementy łączące). Każdy zestaw powinien zawierać minimum 500 elementów dla jednej grupy wiekowej (łącznie min. 1000 elementów), wspierających rozwój motoryki małej, koordynacji oko–ręka, logicznego myślenia oraz pracy zespołowej. Klocki muszą być pozbawione ostrych krawędzi, a zestawy dla klas 1–3 nie mogą zawierać małych elementów stwarzających ryzyko połknięcia. Wymagany jest certyfikat CE. Zestawy powinny być wyposażone w praktyczne pojemniki lub kufry umożliwiające łatwe przechowywanie i transport</w:t>
            </w:r>
          </w:p>
        </w:tc>
        <w:tc>
          <w:tcPr>
            <w:tcW w:w="850" w:type="dxa"/>
          </w:tcPr>
          <w:p w14:paraId="467AC9DB"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lastRenderedPageBreak/>
              <w:t>3</w:t>
            </w:r>
          </w:p>
        </w:tc>
        <w:tc>
          <w:tcPr>
            <w:tcW w:w="1275" w:type="dxa"/>
          </w:tcPr>
          <w:p w14:paraId="6F9EC407"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38D328D8"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2236F39B" w14:textId="77777777" w:rsidTr="004175F3">
        <w:trPr>
          <w:trHeight w:val="324"/>
        </w:trPr>
        <w:tc>
          <w:tcPr>
            <w:tcW w:w="697" w:type="dxa"/>
          </w:tcPr>
          <w:p w14:paraId="0A4272B9"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3</w:t>
            </w:r>
          </w:p>
        </w:tc>
        <w:tc>
          <w:tcPr>
            <w:tcW w:w="5282" w:type="dxa"/>
          </w:tcPr>
          <w:p w14:paraId="3237C6A6" w14:textId="77777777" w:rsidR="00893A4C" w:rsidRPr="00893A4C" w:rsidRDefault="00893A4C" w:rsidP="00893A4C">
            <w:pPr>
              <w:spacing w:after="160" w:line="278" w:lineRule="auto"/>
              <w:jc w:val="both"/>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zestaw do zabaw ruchowych przeznaczonych dla uczniów klas 1–6, wspierającego rozwój motoryki małej i dużej, koordynacji ruchowo-wzrokowej, zręczności, równowagi, kreatywności oraz aktywności fizycznej. Zestaw powinien zawierać różnorodne przybory do ćwiczeń, w tym piłki gumowe i piankowe (min. 3 szt.), skakanki (min. 3 szt.), pachołki lub stożki (min. 4 szt.), hula-hop (min. 2 szt.) oraz piłeczki do rzutów i chwytania (min. 5 szt.). Wszystkie elementy muszą być wykonane z trwałych, bezpiecznych i nietoksycznych materiałów, odpornych na intensywne użytkowanie. Zestaw powinien być kolorowy i atrakcyjny wizualnie, co zwiększy motywację dzieci do aktywności. Wymagany jest certyfikat CE, brak ostrych krawędzi oraz zgodność z normami bezpieczeństwa. Całość powinna być łatwa do przechowywania i przenoszenia, np. w torbie lub pojemniku</w:t>
            </w:r>
          </w:p>
        </w:tc>
        <w:tc>
          <w:tcPr>
            <w:tcW w:w="850" w:type="dxa"/>
          </w:tcPr>
          <w:p w14:paraId="20CCA4ED"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1</w:t>
            </w:r>
          </w:p>
        </w:tc>
        <w:tc>
          <w:tcPr>
            <w:tcW w:w="1275" w:type="dxa"/>
          </w:tcPr>
          <w:p w14:paraId="65DFCAAC"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556F19A0"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424E0E4D" w14:textId="77777777" w:rsidTr="004175F3">
        <w:trPr>
          <w:trHeight w:val="324"/>
        </w:trPr>
        <w:tc>
          <w:tcPr>
            <w:tcW w:w="697" w:type="dxa"/>
          </w:tcPr>
          <w:p w14:paraId="312C4B0A"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4</w:t>
            </w:r>
          </w:p>
        </w:tc>
        <w:tc>
          <w:tcPr>
            <w:tcW w:w="5282" w:type="dxa"/>
          </w:tcPr>
          <w:p w14:paraId="0B478E49" w14:textId="77777777" w:rsidR="00893A4C" w:rsidRPr="00893A4C" w:rsidRDefault="00893A4C" w:rsidP="00893A4C">
            <w:pPr>
              <w:spacing w:before="100" w:beforeAutospacing="1" w:after="100" w:afterAutospacing="1" w:line="240" w:lineRule="auto"/>
              <w:jc w:val="both"/>
              <w:rPr>
                <w:rFonts w:ascii="Times New Roman" w:hAnsi="Times New Roman"/>
                <w:lang w:eastAsia="pl-PL"/>
              </w:rPr>
            </w:pPr>
            <w:r w:rsidRPr="00893A4C">
              <w:rPr>
                <w:rFonts w:ascii="Times New Roman" w:hAnsi="Times New Roman"/>
                <w:lang w:eastAsia="pl-PL"/>
              </w:rPr>
              <w:t>zestaw sportowo-animacyjny przeznaczony dla uczniów klas 1–6, wspierający rozwój motoryki małej i dużej, koordynacji ruchowo-wzrokowej, równowagi, zręczności, kreatywności oraz aktywności fizycznej. Zestaw powinien zawierać różnorodne przybory do ćwiczeń, w tym piłki gumowe i piankowe (min. 5 szt.), skakanki (min. 5 szt.), pachołki lub stożki (min. 6 szt.), hula-hop (min. 3 szt.), piłeczki do rzutów i chwytania (min. 10 szt.) oraz worki lub woreczki do ćwiczeń zręcznościowych (min. 10 elementów). Wszystkie elementy muszą być wykonane z trwałych, bezpiecznych i nietoksycznych materiałów, odpornych na intensywne użytkowanie. Zestaw powinien być kolorowy i atrakcyjny wizualnie, wspierający motywację dzieci do aktywności. Wymagany jest certyfikat CE, brak ostrych krawędzi oraz zgodność z normami bezpieczeństwa. Całość powinna być łatwa do przechowywania i przenoszenia, np. w torbie lub pojemniku.</w:t>
            </w:r>
          </w:p>
        </w:tc>
        <w:tc>
          <w:tcPr>
            <w:tcW w:w="850" w:type="dxa"/>
          </w:tcPr>
          <w:p w14:paraId="532A3D37"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1</w:t>
            </w:r>
          </w:p>
        </w:tc>
        <w:tc>
          <w:tcPr>
            <w:tcW w:w="1275" w:type="dxa"/>
          </w:tcPr>
          <w:p w14:paraId="167B57C0"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14E22264"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264C66A2" w14:textId="77777777" w:rsidTr="004175F3">
        <w:trPr>
          <w:trHeight w:val="324"/>
        </w:trPr>
        <w:tc>
          <w:tcPr>
            <w:tcW w:w="697" w:type="dxa"/>
          </w:tcPr>
          <w:p w14:paraId="47876DC0"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5</w:t>
            </w:r>
          </w:p>
        </w:tc>
        <w:tc>
          <w:tcPr>
            <w:tcW w:w="5282" w:type="dxa"/>
          </w:tcPr>
          <w:p w14:paraId="318A270F" w14:textId="77777777" w:rsidR="00893A4C" w:rsidRPr="00893A4C" w:rsidRDefault="00893A4C" w:rsidP="00893A4C">
            <w:pPr>
              <w:spacing w:before="100" w:beforeAutospacing="1" w:after="100" w:afterAutospacing="1" w:line="240" w:lineRule="auto"/>
              <w:jc w:val="both"/>
              <w:rPr>
                <w:rFonts w:ascii="Times New Roman" w:hAnsi="Times New Roman"/>
                <w:lang w:eastAsia="pl-PL"/>
              </w:rPr>
            </w:pPr>
            <w:r w:rsidRPr="00893A4C">
              <w:rPr>
                <w:rFonts w:ascii="Times New Roman" w:hAnsi="Times New Roman"/>
                <w:lang w:eastAsia="pl-PL"/>
              </w:rPr>
              <w:t xml:space="preserve">zestaw materiałów edukacyjnych przeznaczonych dla uczniów klas 1–3 oraz 4–8, wspierających wszechstronny rozwój, w tym kompetencje czytelnicze, koncentrację, pamięć, logiczne myślenie oraz samodzielną pracę. W przypadku uczniów klas 4–8 materiały powinny dodatkowo uwzględniać potrzeby uczniów z opinią poradni psychologiczno-pedagogicznej, w szczególności w zakresie czytania ze zrozumieniem i tempa czytania. </w:t>
            </w:r>
            <w:r w:rsidRPr="00893A4C">
              <w:rPr>
                <w:rFonts w:ascii="Times New Roman" w:hAnsi="Times New Roman"/>
                <w:lang w:eastAsia="pl-PL"/>
              </w:rPr>
              <w:lastRenderedPageBreak/>
              <w:t>Zestaw powinien zawierać teksty dostosowane do poziomu obu grup wiekowych, karty pracy do kopiowania, gotowe materiały rozwijające koncentrację, pamięć i logiczne myślenie oraz instrukcje/metodykę dla nauczyciela umożliwiającą prowadzenie zajęć indywidualnych i grupowych. Materiały muszą być trwałe, bezpieczne i łatwe w użytkowaniu oraz kopiowaniu, o kolorowej i przyjaznej formie wspierającej percepcję wzrokową i motywację uczniów. Wymagany jest certyfikat CE, brak elementów niebezpiecznych oraz zgodność z normami bezpieczeństwa. Całość powinna być uporządkowana w sposób umożliwiający łatwe przechowywanie i przenoszenie (np. segregatory, teczki lub pojemniki).</w:t>
            </w:r>
          </w:p>
        </w:tc>
        <w:tc>
          <w:tcPr>
            <w:tcW w:w="850" w:type="dxa"/>
          </w:tcPr>
          <w:p w14:paraId="1C0928CB"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lastRenderedPageBreak/>
              <w:t>1</w:t>
            </w:r>
          </w:p>
        </w:tc>
        <w:tc>
          <w:tcPr>
            <w:tcW w:w="1275" w:type="dxa"/>
          </w:tcPr>
          <w:p w14:paraId="266EAC05"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7EC9FF19"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602ABD3D" w14:textId="77777777" w:rsidTr="004175F3">
        <w:trPr>
          <w:trHeight w:val="324"/>
        </w:trPr>
        <w:tc>
          <w:tcPr>
            <w:tcW w:w="697" w:type="dxa"/>
          </w:tcPr>
          <w:p w14:paraId="5C0A14C4"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6</w:t>
            </w:r>
          </w:p>
        </w:tc>
        <w:tc>
          <w:tcPr>
            <w:tcW w:w="5282" w:type="dxa"/>
          </w:tcPr>
          <w:p w14:paraId="09CB7AB9" w14:textId="77777777" w:rsidR="00893A4C" w:rsidRPr="00893A4C" w:rsidRDefault="00893A4C" w:rsidP="00893A4C">
            <w:pPr>
              <w:spacing w:before="100" w:beforeAutospacing="1" w:after="100" w:afterAutospacing="1" w:line="240" w:lineRule="auto"/>
              <w:jc w:val="both"/>
              <w:rPr>
                <w:rFonts w:ascii="Times New Roman" w:hAnsi="Times New Roman"/>
                <w:lang w:eastAsia="pl-PL"/>
              </w:rPr>
            </w:pPr>
            <w:r w:rsidRPr="00893A4C">
              <w:rPr>
                <w:rFonts w:ascii="Times New Roman" w:hAnsi="Times New Roman"/>
                <w:lang w:eastAsia="pl-PL"/>
              </w:rPr>
              <w:t>zestaw pomocy sensorycznych przeznaczonych do zajęć z integracji sensorycznej, rozwijania motoryki dużej i małej, koordynacji oko–ręka, równowagi, koncentracji i percepcji uczniów.  Zestaw zróżnicowanych pomocy sensorycznych, obejmujący: piłki sensoryczne o różnej fakturze (min. 5 szt.), poduszki równoważne (min. 2 szt.), maty dotykowe/panele fakturowe (min. 4 elementy), woreczki z wypełnieniem (min. 10 szt.), zestaw małych przyborów do ćwiczeń dłoni (np. gniotki, krążki, kostki sensoryczne – min. 10 elementów).</w:t>
            </w:r>
          </w:p>
        </w:tc>
        <w:tc>
          <w:tcPr>
            <w:tcW w:w="850" w:type="dxa"/>
          </w:tcPr>
          <w:p w14:paraId="5E2FC4AD"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1</w:t>
            </w:r>
          </w:p>
        </w:tc>
        <w:tc>
          <w:tcPr>
            <w:tcW w:w="1275" w:type="dxa"/>
          </w:tcPr>
          <w:p w14:paraId="699906E6"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2EAA8E88"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497EE988" w14:textId="77777777" w:rsidTr="004175F3">
        <w:trPr>
          <w:trHeight w:val="324"/>
        </w:trPr>
        <w:tc>
          <w:tcPr>
            <w:tcW w:w="9228" w:type="dxa"/>
            <w:gridSpan w:val="5"/>
          </w:tcPr>
          <w:p w14:paraId="62AAB216" w14:textId="77777777" w:rsidR="00893A4C" w:rsidRPr="00893A4C" w:rsidRDefault="00893A4C" w:rsidP="00893A4C">
            <w:pPr>
              <w:spacing w:after="160" w:line="259" w:lineRule="auto"/>
              <w:jc w:val="both"/>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 xml:space="preserve">SZKOŁA PODSTAWOWA IM. MARII KONOPNICKIEJ W MŁOCKU </w:t>
            </w:r>
          </w:p>
        </w:tc>
      </w:tr>
      <w:tr w:rsidR="00893A4C" w:rsidRPr="00893A4C" w14:paraId="0088D908" w14:textId="77777777" w:rsidTr="004175F3">
        <w:trPr>
          <w:trHeight w:val="324"/>
        </w:trPr>
        <w:tc>
          <w:tcPr>
            <w:tcW w:w="697" w:type="dxa"/>
          </w:tcPr>
          <w:p w14:paraId="24D1E3B2"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1</w:t>
            </w:r>
          </w:p>
        </w:tc>
        <w:tc>
          <w:tcPr>
            <w:tcW w:w="5282" w:type="dxa"/>
          </w:tcPr>
          <w:p w14:paraId="2318DC9D" w14:textId="77777777" w:rsidR="00893A4C" w:rsidRPr="00893A4C" w:rsidRDefault="00893A4C" w:rsidP="00893A4C">
            <w:pPr>
              <w:spacing w:after="160" w:line="278" w:lineRule="auto"/>
              <w:jc w:val="both"/>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 xml:space="preserve">Klocki KORBO EDY </w:t>
            </w:r>
            <w:proofErr w:type="spellStart"/>
            <w:r w:rsidRPr="00893A4C">
              <w:rPr>
                <w:rFonts w:ascii="Times New Roman" w:eastAsiaTheme="minorHAnsi" w:hAnsi="Times New Roman"/>
                <w:kern w:val="2"/>
                <w14:ligatures w14:val="standardContextual"/>
              </w:rPr>
              <w:t>Steam</w:t>
            </w:r>
            <w:proofErr w:type="spellEnd"/>
            <w:r w:rsidRPr="00893A4C">
              <w:rPr>
                <w:rFonts w:ascii="Times New Roman" w:eastAsiaTheme="minorHAnsi" w:hAnsi="Times New Roman"/>
                <w:kern w:val="2"/>
                <w14:ligatures w14:val="standardContextual"/>
              </w:rPr>
              <w:t xml:space="preserve"> 2450 - rozbudowany zestaw klocków edukacyjnych przeznaczony do zajęć w metodzie STEAM, który wspiera rozwój kreatywności, logicznego myślenia oraz umiejętności konstrukcyjnych i pracy zespołowej. Zestaw jest odpowiedni dla dzieci w wieku szkolnym, w szczególności uczniów klas 1–6, i umożliwia prowadzenie zajęć na różnych poziomach zaawansowania. Zawiera dużą liczbę elementów konstrukcyjnych oraz materiały dydaktyczne wspierające realizację zajęć, co pozwala na tworzenie różnorodnych modeli i realizację projektów edukacyjnych. Elementy wykonane są z trwałego i bezpiecznego tworzywa, przystosowanego do intensywnego użytkowania w warunkach szkolnych. Zestaw wyróżnia się wielokolorową formą, która wspiera percepcję wzrokową i motywuje dzieci do aktywnej pracy. Wspomaga rozwój kompetencji matematycznych, przyrodniczych, językowych oraz zdolności manualnych i przestrzennych. Produkt spełnia normy bezpieczeństwa zabawek, jest pozbawiony ostrych krawędzi i przystosowany do użytkowania przez dzieci. Całość jest zaprojektowana tak, aby umożliwić wygodne przechowywanie i organizację elementów po zakończonych zajęciach.</w:t>
            </w:r>
          </w:p>
        </w:tc>
        <w:tc>
          <w:tcPr>
            <w:tcW w:w="850" w:type="dxa"/>
          </w:tcPr>
          <w:p w14:paraId="0BD42850"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1</w:t>
            </w:r>
          </w:p>
        </w:tc>
        <w:tc>
          <w:tcPr>
            <w:tcW w:w="1275" w:type="dxa"/>
          </w:tcPr>
          <w:p w14:paraId="651B3E28"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612C6E1A"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6E74621E" w14:textId="77777777" w:rsidTr="004175F3">
        <w:trPr>
          <w:trHeight w:val="324"/>
        </w:trPr>
        <w:tc>
          <w:tcPr>
            <w:tcW w:w="697" w:type="dxa"/>
          </w:tcPr>
          <w:p w14:paraId="1CFAA581"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2</w:t>
            </w:r>
          </w:p>
        </w:tc>
        <w:tc>
          <w:tcPr>
            <w:tcW w:w="5282" w:type="dxa"/>
          </w:tcPr>
          <w:p w14:paraId="56AC1609" w14:textId="77777777" w:rsidR="00893A4C" w:rsidRPr="00893A4C" w:rsidRDefault="00893A4C" w:rsidP="00893A4C">
            <w:pPr>
              <w:spacing w:after="160" w:line="278" w:lineRule="auto"/>
              <w:jc w:val="both"/>
              <w:rPr>
                <w:rFonts w:ascii="Times New Roman" w:eastAsiaTheme="minorHAnsi" w:hAnsi="Times New Roman"/>
                <w:kern w:val="2"/>
                <w14:ligatures w14:val="standardContextual"/>
              </w:rPr>
            </w:pPr>
            <w:r w:rsidRPr="00893A4C">
              <w:rPr>
                <w:rFonts w:ascii="Times New Roman" w:eastAsiaTheme="majorEastAsia" w:hAnsi="Times New Roman"/>
                <w:kern w:val="2"/>
                <w14:ligatures w14:val="standardContextual"/>
              </w:rPr>
              <w:t>Gwoździki z kratkami i karty pracy z</w:t>
            </w:r>
            <w:r w:rsidRPr="00893A4C">
              <w:rPr>
                <w:rFonts w:ascii="Times New Roman" w:eastAsiaTheme="minorHAnsi" w:hAnsi="Times New Roman"/>
                <w:kern w:val="2"/>
                <w14:ligatures w14:val="standardContextual"/>
              </w:rPr>
              <w:t xml:space="preserve">estaw przeznaczony jest do zajęć dydaktycznych rozwijających motorykę małą, koordynację wzrokowo-ruchową, koncentrację oraz umiejętności matematyczne i logiczne uczniów. Może być wykorzystywany zarówno w edukacji wczesnoszkolnej, </w:t>
            </w:r>
            <w:r w:rsidRPr="00893A4C">
              <w:rPr>
                <w:rFonts w:ascii="Times New Roman" w:eastAsiaTheme="minorHAnsi" w:hAnsi="Times New Roman"/>
                <w:kern w:val="2"/>
                <w14:ligatures w14:val="standardContextual"/>
              </w:rPr>
              <w:lastRenderedPageBreak/>
              <w:t>jak i na dalszych etapach nauki, wspierając pracę indywidualną i grupową. W skład zestawu wchodzą plansze z siatką oraz gwoździki umożliwiające odwzorowywanie wzorów i tworzenie własnych kompozycji, a także karty pracy dostosowane do poziomu uczniów, które wspierają realizację różnorodnych ćwiczeń edukacyjnych. Elementy wykonane są z trwałych i bezpiecznych materiałów, odpowiednich do intensywnego użytkowania w warunkach szkolnych. Zestaw sprzyja rozwijaniu kreatywności, wyobraźni przestrzennej oraz umiejętności odwzorowywania i planowania. Całość spełnia wymagania bezpieczeństwa dla pomocy dydaktycznych i jest przystosowana do pracy w środowisku edukacyjnym</w:t>
            </w:r>
          </w:p>
        </w:tc>
        <w:tc>
          <w:tcPr>
            <w:tcW w:w="850" w:type="dxa"/>
          </w:tcPr>
          <w:p w14:paraId="22D64A40"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lastRenderedPageBreak/>
              <w:t>1</w:t>
            </w:r>
          </w:p>
        </w:tc>
        <w:tc>
          <w:tcPr>
            <w:tcW w:w="1275" w:type="dxa"/>
          </w:tcPr>
          <w:p w14:paraId="11EB357F"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076FFE1D"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1ADFAF8D" w14:textId="77777777" w:rsidTr="004175F3">
        <w:trPr>
          <w:trHeight w:val="324"/>
        </w:trPr>
        <w:tc>
          <w:tcPr>
            <w:tcW w:w="697" w:type="dxa"/>
          </w:tcPr>
          <w:p w14:paraId="01E512F6"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3</w:t>
            </w:r>
          </w:p>
        </w:tc>
        <w:tc>
          <w:tcPr>
            <w:tcW w:w="5282" w:type="dxa"/>
          </w:tcPr>
          <w:p w14:paraId="4C1516CC" w14:textId="77777777" w:rsidR="00893A4C" w:rsidRPr="00893A4C" w:rsidRDefault="00893A4C" w:rsidP="00893A4C">
            <w:pPr>
              <w:spacing w:after="160" w:line="278" w:lineRule="auto"/>
              <w:jc w:val="both"/>
              <w:rPr>
                <w:rFonts w:ascii="Times New Roman" w:eastAsiaTheme="minorHAnsi" w:hAnsi="Times New Roman"/>
                <w:kern w:val="2"/>
                <w14:ligatures w14:val="standardContextual"/>
              </w:rPr>
            </w:pPr>
            <w:r w:rsidRPr="00893A4C">
              <w:rPr>
                <w:rFonts w:ascii="Times New Roman" w:eastAsiaTheme="majorEastAsia" w:hAnsi="Times New Roman"/>
                <w:kern w:val="2"/>
                <w14:ligatures w14:val="standardContextual"/>
              </w:rPr>
              <w:t>Pomoce dydaktyczne do terapii pedagogicznej „Akademia Pomysłów”</w:t>
            </w:r>
            <w:r w:rsidRPr="00893A4C">
              <w:rPr>
                <w:rFonts w:ascii="Times New Roman" w:eastAsiaTheme="minorHAnsi" w:hAnsi="Times New Roman"/>
                <w:kern w:val="2"/>
                <w14:ligatures w14:val="standardContextual"/>
              </w:rPr>
              <w:t xml:space="preserve"> –  Zestawy pomocy dydaktycznych przeznaczony jest do terapii pedagogicznej oraz zajęć wspierających rozwój uczniów z trudnościami edukacyjnymi. Materiały wspomagają rozwój koncentracji, pamięci, percepcji wzrokowej, logicznego myślenia oraz umiejętności czytania i pisania, a także usprawniają funkcje poznawcze i motorykę małą. Pomoce dostosowane są do pracy z uczniami na różnych poziomach edukacyjnych i mogą być wykorzystywane zarówno w pracy indywidualnej, jak i grupowej. Umożliwiają prowadzenie atrakcyjnych zajęć terapeutycznych poprzez różnorodne zadania, ćwiczenia i aktywności edukacyjne. Materiały wykonane są z trwałych, bezpiecznych i przyjaznych dzieciom komponentów, przystosowanych do intensywnego użytkowania w warunkach szkolnych. Wspierają motywację uczniów do pracy poprzez atrakcyjną, kolorową formę oraz angażujące zadania. Zestawy spełniają wymagania bezpieczeństwa dla pomocy dydaktycznych i są odpowiednie do stosowania w placówkach edukacyjnych i terapeutycznych.</w:t>
            </w:r>
          </w:p>
        </w:tc>
        <w:tc>
          <w:tcPr>
            <w:tcW w:w="850" w:type="dxa"/>
          </w:tcPr>
          <w:p w14:paraId="60186920"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2</w:t>
            </w:r>
          </w:p>
        </w:tc>
        <w:tc>
          <w:tcPr>
            <w:tcW w:w="1275" w:type="dxa"/>
          </w:tcPr>
          <w:p w14:paraId="2385D960"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60F10F2A"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64992308" w14:textId="77777777" w:rsidTr="004175F3">
        <w:trPr>
          <w:trHeight w:val="324"/>
        </w:trPr>
        <w:tc>
          <w:tcPr>
            <w:tcW w:w="697" w:type="dxa"/>
          </w:tcPr>
          <w:p w14:paraId="125E8047"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4</w:t>
            </w:r>
          </w:p>
        </w:tc>
        <w:tc>
          <w:tcPr>
            <w:tcW w:w="5282" w:type="dxa"/>
          </w:tcPr>
          <w:p w14:paraId="4E6BE548" w14:textId="77777777" w:rsidR="00893A4C" w:rsidRPr="00893A4C" w:rsidRDefault="00893A4C" w:rsidP="00893A4C">
            <w:pPr>
              <w:spacing w:before="100" w:beforeAutospacing="1" w:after="100" w:afterAutospacing="1" w:line="240" w:lineRule="auto"/>
              <w:rPr>
                <w:rFonts w:ascii="Times New Roman" w:hAnsi="Times New Roman"/>
                <w:lang w:eastAsia="pl-PL"/>
              </w:rPr>
            </w:pPr>
            <w:r w:rsidRPr="00893A4C">
              <w:rPr>
                <w:rFonts w:ascii="Times New Roman" w:hAnsi="Times New Roman"/>
                <w:lang w:eastAsia="pl-PL"/>
              </w:rPr>
              <w:t xml:space="preserve">Zestaw obejmuje dwie gry planszowe ,, Gorący ziemniak: familijny i junior’’ przeznaczone do wspólnej zabawy rodzinnej oraz zajęć edukacyjnych z dziećmi. Gra rozwija refleks, koncentrację, spostrzegawczość, szybkie kojarzenie oraz umiejętność pracy w grupie. Wspiera także integrację uczestników i aktywne spędzanie czasu. Wariant familijny oraz junior umożliwiają dostosowanie poziomu trudności do wieku i możliwości graczy, dzięki czemu gra sprawdzi się zarówno wśród młodszych, jak i starszych dzieci. Elementy zestawu wykonane są z trwałych i bezpiecznych materiałów, przystosowanych do intensywnego użytkowania. Gra charakteryzuje się atrakcyjną, kolorową formą, która zachęca do aktywności i angażuje uczestników. Produkt spełnia normy bezpieczeństwa dla zabawek i pomocy dydaktycznych </w:t>
            </w:r>
            <w:r w:rsidRPr="00893A4C">
              <w:rPr>
                <w:rFonts w:ascii="Times New Roman" w:hAnsi="Times New Roman"/>
                <w:lang w:eastAsia="pl-PL"/>
              </w:rPr>
              <w:lastRenderedPageBreak/>
              <w:t>oraz jest odpowiedni do wykorzystania w placówkach edukacyjnych.</w:t>
            </w:r>
          </w:p>
        </w:tc>
        <w:tc>
          <w:tcPr>
            <w:tcW w:w="850" w:type="dxa"/>
          </w:tcPr>
          <w:p w14:paraId="1C47CB8F"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lastRenderedPageBreak/>
              <w:t>1</w:t>
            </w:r>
          </w:p>
        </w:tc>
        <w:tc>
          <w:tcPr>
            <w:tcW w:w="1275" w:type="dxa"/>
          </w:tcPr>
          <w:p w14:paraId="0958DC9B"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3113EDDE"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2AAF194A" w14:textId="77777777" w:rsidTr="004175F3">
        <w:trPr>
          <w:trHeight w:val="324"/>
        </w:trPr>
        <w:tc>
          <w:tcPr>
            <w:tcW w:w="697" w:type="dxa"/>
          </w:tcPr>
          <w:p w14:paraId="61E1CB63"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5</w:t>
            </w:r>
          </w:p>
        </w:tc>
        <w:tc>
          <w:tcPr>
            <w:tcW w:w="5282" w:type="dxa"/>
          </w:tcPr>
          <w:p w14:paraId="2E447ADE" w14:textId="77777777" w:rsidR="00893A4C" w:rsidRPr="00893A4C" w:rsidRDefault="00893A4C" w:rsidP="00893A4C">
            <w:pPr>
              <w:spacing w:before="100" w:beforeAutospacing="1" w:after="100" w:afterAutospacing="1" w:line="240" w:lineRule="auto"/>
              <w:rPr>
                <w:rFonts w:ascii="Times New Roman" w:hAnsi="Times New Roman"/>
                <w:lang w:eastAsia="pl-PL"/>
              </w:rPr>
            </w:pPr>
            <w:proofErr w:type="spellStart"/>
            <w:r w:rsidRPr="00893A4C">
              <w:rPr>
                <w:rFonts w:ascii="Times New Roman" w:hAnsi="Times New Roman"/>
                <w:lang w:eastAsia="pl-PL"/>
              </w:rPr>
              <w:t>Eduterapeutica</w:t>
            </w:r>
            <w:proofErr w:type="spellEnd"/>
            <w:r w:rsidRPr="00893A4C">
              <w:rPr>
                <w:rFonts w:ascii="Times New Roman" w:hAnsi="Times New Roman"/>
                <w:lang w:eastAsia="pl-PL"/>
              </w:rPr>
              <w:t xml:space="preserve"> LUX SPE to kompleksowy pakiet materiałów edukacyjnych i terapeutycznych przeznaczony do pracy z uczniami klas 4–8 (wiek ok. 10–15 lat), szczególnie z trudnościami w uczeniu się, takimi jak dysleksja, dysgrafia, dysortografia czy dyskalkulia. Zestaw zawiera dużą liczbę ćwiczeń multimedialnych i interaktywnych gier edukacyjnych oraz karty pracy i poradniki metodyczne, które nauczyciel może wykorzystać w terapii indywidualnej lub grupowej, dostosowując je do potrzeb uczniów. Materiały wspierają rozwój kompetencji językowych, matematycznych, koncentracji, pamięci i logicznego myślenia, a także pomagają w diagnozie oraz planowaniu i prowadzeniu zajęć wyrównawczych, kompensacyjnych i rewalidacyjnych. </w:t>
            </w:r>
            <w:proofErr w:type="spellStart"/>
            <w:r w:rsidRPr="00893A4C">
              <w:rPr>
                <w:rFonts w:ascii="Times New Roman" w:hAnsi="Times New Roman"/>
                <w:lang w:eastAsia="pl-PL"/>
              </w:rPr>
              <w:t>Eduterapeutica</w:t>
            </w:r>
            <w:proofErr w:type="spellEnd"/>
            <w:r w:rsidRPr="00893A4C">
              <w:rPr>
                <w:rFonts w:ascii="Times New Roman" w:hAnsi="Times New Roman"/>
                <w:lang w:eastAsia="pl-PL"/>
              </w:rPr>
              <w:t xml:space="preserve"> SPE 4–8 zawiera m.in. setki ćwiczeń i kart pracy, poradnik dla nauczyciela i rodzica oraz dodatkowe narzędzia wspierające pracę dydaktyczną i terapeutyczną, które motywują uczniów do aktywnego udziału w zajęciach. </w:t>
            </w:r>
          </w:p>
        </w:tc>
        <w:tc>
          <w:tcPr>
            <w:tcW w:w="850" w:type="dxa"/>
          </w:tcPr>
          <w:p w14:paraId="142A71B0"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1</w:t>
            </w:r>
          </w:p>
        </w:tc>
        <w:tc>
          <w:tcPr>
            <w:tcW w:w="1275" w:type="dxa"/>
          </w:tcPr>
          <w:p w14:paraId="3B583B03"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42DCC645"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6DC3AB35" w14:textId="77777777" w:rsidTr="004175F3">
        <w:trPr>
          <w:trHeight w:val="324"/>
        </w:trPr>
        <w:tc>
          <w:tcPr>
            <w:tcW w:w="697" w:type="dxa"/>
          </w:tcPr>
          <w:p w14:paraId="1A69E5A8"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6</w:t>
            </w:r>
          </w:p>
        </w:tc>
        <w:tc>
          <w:tcPr>
            <w:tcW w:w="5282" w:type="dxa"/>
          </w:tcPr>
          <w:p w14:paraId="6B9C133A" w14:textId="77777777" w:rsidR="00893A4C" w:rsidRPr="00893A4C" w:rsidRDefault="00893A4C" w:rsidP="00893A4C">
            <w:pPr>
              <w:spacing w:before="100" w:beforeAutospacing="1" w:after="100" w:afterAutospacing="1" w:line="240" w:lineRule="auto"/>
              <w:rPr>
                <w:rFonts w:ascii="Times New Roman" w:hAnsi="Times New Roman"/>
                <w:lang w:eastAsia="pl-PL"/>
              </w:rPr>
            </w:pPr>
            <w:r w:rsidRPr="00893A4C">
              <w:rPr>
                <w:rFonts w:ascii="Times New Roman" w:hAnsi="Times New Roman"/>
                <w:lang w:eastAsia="pl-PL"/>
              </w:rPr>
              <w:t>Zestaw kart pracy przeznaczony dla uczniów z niepełnosprawnością intelektualną, wspierając ich rozwój poznawczy, percepcję wzrokową, koncentrację oraz umiejętności manualne i logiczne. Materiały są dostosowane do różnych poziomów funkcjonowania uczniów i umożliwiają pracę indywidualną oraz grupową. ,Karty obejmują zadania tematyczne związane z porami roku – zimą, wiosną i latem – co pozwala na urozmaicenie zajęć edukacyjnych i wspiera naukę przez doświadczenie oraz obserwację otoczenia. Ćwiczenia rozwijają kreatywność, spostrzegawczość oraz umiejętność wykonywania prostych czynności i wzorców. Materiały wykonane są z trwałego papieru, w kolorowej i atrakcyjnej formie, łatwe do kopiowania i stosowania w klasie lub w terapii indywidualnej. Zestaw spełnia normy bezpieczeństwa dla materiałów edukacyjnych i jest odpowiedni do codziennego użytkowania w placówkach edukacyjnych.</w:t>
            </w:r>
          </w:p>
        </w:tc>
        <w:tc>
          <w:tcPr>
            <w:tcW w:w="850" w:type="dxa"/>
          </w:tcPr>
          <w:p w14:paraId="5D9A96EC"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1</w:t>
            </w:r>
          </w:p>
        </w:tc>
        <w:tc>
          <w:tcPr>
            <w:tcW w:w="1275" w:type="dxa"/>
          </w:tcPr>
          <w:p w14:paraId="0E9CC982"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2FEB37AD"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22B352B5" w14:textId="77777777" w:rsidTr="004175F3">
        <w:trPr>
          <w:trHeight w:val="324"/>
        </w:trPr>
        <w:tc>
          <w:tcPr>
            <w:tcW w:w="697" w:type="dxa"/>
          </w:tcPr>
          <w:p w14:paraId="068BF569"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7</w:t>
            </w:r>
          </w:p>
        </w:tc>
        <w:tc>
          <w:tcPr>
            <w:tcW w:w="5282" w:type="dxa"/>
          </w:tcPr>
          <w:p w14:paraId="42527903" w14:textId="77777777" w:rsidR="00893A4C" w:rsidRPr="00893A4C" w:rsidRDefault="00893A4C" w:rsidP="00893A4C">
            <w:pPr>
              <w:spacing w:before="100" w:beforeAutospacing="1" w:after="100" w:afterAutospacing="1" w:line="240" w:lineRule="auto"/>
              <w:rPr>
                <w:rFonts w:ascii="Times New Roman" w:hAnsi="Times New Roman"/>
                <w:lang w:eastAsia="pl-PL"/>
              </w:rPr>
            </w:pPr>
            <w:r w:rsidRPr="00893A4C">
              <w:rPr>
                <w:rFonts w:ascii="Times New Roman" w:eastAsiaTheme="majorEastAsia" w:hAnsi="Times New Roman"/>
                <w:lang w:eastAsia="pl-PL"/>
              </w:rPr>
              <w:t xml:space="preserve"> „Dlaczego to niemożliwe? Ćwiczenia rozwijające zdolność logicznego myślenia” –</w:t>
            </w:r>
            <w:r w:rsidRPr="00893A4C">
              <w:rPr>
                <w:rFonts w:ascii="Times New Roman" w:hAnsi="Times New Roman"/>
                <w:lang w:eastAsia="pl-PL"/>
              </w:rPr>
              <w:t xml:space="preserve">to książka edukacyjna, która uczy dzieci dostrzegać sprzeczności i nierealne elementy w przedstawionych sytuacjach oraz uzasadniać swoje spostrzeżenia. Dzieci patrzą na fotografie i odpowiadają na pytania, wskazując, co jest nierealne i </w:t>
            </w:r>
            <w:r w:rsidRPr="00893A4C">
              <w:rPr>
                <w:rFonts w:ascii="Times New Roman" w:eastAsiaTheme="majorEastAsia" w:hAnsi="Times New Roman"/>
                <w:lang w:eastAsia="pl-PL"/>
              </w:rPr>
              <w:t>dlaczego</w:t>
            </w:r>
            <w:r w:rsidRPr="00893A4C">
              <w:rPr>
                <w:rFonts w:ascii="Times New Roman" w:hAnsi="Times New Roman"/>
                <w:lang w:eastAsia="pl-PL"/>
              </w:rPr>
              <w:t xml:space="preserve"> — co wspiera rozwój logicznego i analitycznego myślenia oraz umiejętność argumentowania. Publikacja zawiera 57 zdjęć z pytaniami i poleceniami dla ucznia oraz wskazówkami dla osoby prowadzącej (nauczyciel, terapeuta, rodzic), co czyni ją praktycznym narzędziem do pracy dydaktycznej i terapeutycznej. </w:t>
            </w:r>
          </w:p>
        </w:tc>
        <w:tc>
          <w:tcPr>
            <w:tcW w:w="850" w:type="dxa"/>
          </w:tcPr>
          <w:p w14:paraId="70F946F2"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1</w:t>
            </w:r>
          </w:p>
        </w:tc>
        <w:tc>
          <w:tcPr>
            <w:tcW w:w="1275" w:type="dxa"/>
          </w:tcPr>
          <w:p w14:paraId="2623B078"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4235BD7E"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4A4906A9" w14:textId="77777777" w:rsidTr="004175F3">
        <w:trPr>
          <w:trHeight w:val="324"/>
        </w:trPr>
        <w:tc>
          <w:tcPr>
            <w:tcW w:w="697" w:type="dxa"/>
          </w:tcPr>
          <w:p w14:paraId="5478AB9D"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8</w:t>
            </w:r>
          </w:p>
        </w:tc>
        <w:tc>
          <w:tcPr>
            <w:tcW w:w="5282" w:type="dxa"/>
          </w:tcPr>
          <w:p w14:paraId="345C9947" w14:textId="77777777" w:rsidR="00893A4C" w:rsidRPr="00893A4C" w:rsidRDefault="00893A4C" w:rsidP="00893A4C">
            <w:pPr>
              <w:spacing w:before="100" w:beforeAutospacing="1" w:after="100" w:afterAutospacing="1" w:line="240" w:lineRule="auto"/>
              <w:rPr>
                <w:rFonts w:ascii="Times New Roman" w:hAnsi="Times New Roman"/>
                <w:lang w:eastAsia="pl-PL"/>
              </w:rPr>
            </w:pPr>
            <w:r w:rsidRPr="00893A4C">
              <w:rPr>
                <w:rFonts w:ascii="Times New Roman" w:eastAsiaTheme="majorEastAsia" w:hAnsi="Times New Roman"/>
                <w:lang w:eastAsia="pl-PL"/>
              </w:rPr>
              <w:t xml:space="preserve">100 kart pracy – ćwiczenia korekcyjno-kompensacyjne (czytanie i pisanie), poziom 2 - </w:t>
            </w:r>
            <w:r w:rsidRPr="00893A4C">
              <w:rPr>
                <w:rFonts w:ascii="Times New Roman" w:hAnsi="Times New Roman"/>
                <w:lang w:eastAsia="pl-PL"/>
              </w:rPr>
              <w:t xml:space="preserve">Zestaw przeznaczony jest do pracy z uczniami wymagającymi wsparcia w zakresie czytania i pisania. Materiały wspierają ćwiczenia korekcyjno-kompensacyjne, rozwijając umiejętności czytania ze zrozumieniem, pisania, koncentracji, pamięci oraz analizy i syntezy wzrokowo-słuchowej. Karty pracy </w:t>
            </w:r>
            <w:r w:rsidRPr="00893A4C">
              <w:rPr>
                <w:rFonts w:ascii="Times New Roman" w:hAnsi="Times New Roman"/>
                <w:lang w:eastAsia="pl-PL"/>
              </w:rPr>
              <w:lastRenderedPageBreak/>
              <w:t>dostosowane są do poziomu średniozaawansowanego, umożliwiają stopniowe utrwalanie umiejętności oraz pracę indywidualną i grupową w zależności od potrzeb ucznia. Zadania mają różnorodną formę, co ułatwia zaangażowanie i motywuje do pracy. Materiały wykonane są w formie umożliwiającej łatwe kopiowanie i wielokrotne wykorzystanie w warunkach szkolnych lub terapeutycznych. Całość wspiera rozwój kompetencji edukacyjnych oraz wyrównywanie deficytów w nauce czytania i pisania.</w:t>
            </w:r>
          </w:p>
        </w:tc>
        <w:tc>
          <w:tcPr>
            <w:tcW w:w="850" w:type="dxa"/>
          </w:tcPr>
          <w:p w14:paraId="5F70FA34"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lastRenderedPageBreak/>
              <w:t>1</w:t>
            </w:r>
          </w:p>
        </w:tc>
        <w:tc>
          <w:tcPr>
            <w:tcW w:w="1275" w:type="dxa"/>
          </w:tcPr>
          <w:p w14:paraId="0C3B8CB0"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6390EFB6"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19F43ACC" w14:textId="77777777" w:rsidTr="004175F3">
        <w:trPr>
          <w:trHeight w:val="324"/>
        </w:trPr>
        <w:tc>
          <w:tcPr>
            <w:tcW w:w="697" w:type="dxa"/>
          </w:tcPr>
          <w:p w14:paraId="6E9170A9"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9</w:t>
            </w:r>
          </w:p>
        </w:tc>
        <w:tc>
          <w:tcPr>
            <w:tcW w:w="5282" w:type="dxa"/>
          </w:tcPr>
          <w:p w14:paraId="5C9BF97B" w14:textId="77777777" w:rsidR="00893A4C" w:rsidRPr="00893A4C" w:rsidRDefault="00893A4C" w:rsidP="00893A4C">
            <w:pPr>
              <w:spacing w:before="100" w:beforeAutospacing="1" w:after="100" w:afterAutospacing="1" w:line="240" w:lineRule="auto"/>
              <w:rPr>
                <w:rFonts w:ascii="Times New Roman" w:hAnsi="Times New Roman"/>
                <w:lang w:eastAsia="pl-PL"/>
              </w:rPr>
            </w:pPr>
            <w:r w:rsidRPr="00893A4C">
              <w:rPr>
                <w:rFonts w:ascii="Times New Roman" w:eastAsiaTheme="majorEastAsia" w:hAnsi="Times New Roman"/>
                <w:lang w:eastAsia="pl-PL"/>
              </w:rPr>
              <w:t>Klocki LOGO z instrukcją -</w:t>
            </w:r>
            <w:r w:rsidRPr="00893A4C">
              <w:rPr>
                <w:rFonts w:ascii="Times New Roman" w:hAnsi="Times New Roman"/>
                <w:lang w:eastAsia="pl-PL"/>
              </w:rPr>
              <w:t xml:space="preserve"> Zestaw klocków LOGO przeznaczony jest do rozwijania umiejętności logicznego myślenia, orientacji przestrzennej, koncentracji oraz wyobraźni u dzieci. Może być wykorzystywany zarówno w edukacji wczesnoszkolnej, jak i podczas zajęć terapeutycznych oraz wspierających rozwój funkcji poznawczych. Zestaw zawiera elementy konstrukcyjne umożliwiające tworzenie różnorodnych układów zgodnie z dołączoną instrukcją, co wspiera naukę odwzorowywania, planowania oraz rozumienia zależności przestrzennych. Instrukcja zawiera przykładowe zadania i propozycje ćwiczeń o zróżnicowanym stopniu trudności. Klocki wykonane są z trwałych i bezpiecznych materiałów, przystosowanych do intensywnego użytkowania w warunkach edukacyjnych. Kolorowa forma zestawu sprzyja zaangażowaniu dzieci i wspiera ich motywację do pracy. Produkt wspiera rozwój kompetencji matematycznych, zdolności manualnych oraz umiejętności pracy według wzorca, a także spełnia podstawowe normy bezpieczeństwa dla pomocy dydaktycznych.</w:t>
            </w:r>
          </w:p>
        </w:tc>
        <w:tc>
          <w:tcPr>
            <w:tcW w:w="850" w:type="dxa"/>
          </w:tcPr>
          <w:p w14:paraId="66BEC7B6"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1</w:t>
            </w:r>
          </w:p>
        </w:tc>
        <w:tc>
          <w:tcPr>
            <w:tcW w:w="1275" w:type="dxa"/>
          </w:tcPr>
          <w:p w14:paraId="40007DC3"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6DE58A36"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45CF0FC3" w14:textId="77777777" w:rsidTr="004175F3">
        <w:trPr>
          <w:trHeight w:val="324"/>
        </w:trPr>
        <w:tc>
          <w:tcPr>
            <w:tcW w:w="697" w:type="dxa"/>
          </w:tcPr>
          <w:p w14:paraId="49805D48"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10</w:t>
            </w:r>
          </w:p>
        </w:tc>
        <w:tc>
          <w:tcPr>
            <w:tcW w:w="5282" w:type="dxa"/>
          </w:tcPr>
          <w:p w14:paraId="5C875D55" w14:textId="77777777" w:rsidR="00893A4C" w:rsidRPr="00893A4C" w:rsidRDefault="00893A4C" w:rsidP="00893A4C">
            <w:pPr>
              <w:spacing w:before="100" w:beforeAutospacing="1" w:after="100" w:afterAutospacing="1" w:line="240" w:lineRule="auto"/>
              <w:rPr>
                <w:rFonts w:ascii="Times New Roman" w:hAnsi="Times New Roman"/>
                <w:lang w:eastAsia="pl-PL"/>
              </w:rPr>
            </w:pPr>
            <w:r w:rsidRPr="00893A4C">
              <w:rPr>
                <w:rFonts w:ascii="Times New Roman" w:eastAsiaTheme="majorEastAsia" w:hAnsi="Times New Roman"/>
                <w:lang w:eastAsia="pl-PL"/>
              </w:rPr>
              <w:t xml:space="preserve">Korbo </w:t>
            </w:r>
            <w:proofErr w:type="spellStart"/>
            <w:r w:rsidRPr="00893A4C">
              <w:rPr>
                <w:rFonts w:ascii="Times New Roman" w:eastAsiaTheme="majorEastAsia" w:hAnsi="Times New Roman"/>
                <w:lang w:eastAsia="pl-PL"/>
              </w:rPr>
              <w:t>Edu</w:t>
            </w:r>
            <w:proofErr w:type="spellEnd"/>
            <w:r w:rsidRPr="00893A4C">
              <w:rPr>
                <w:rFonts w:ascii="Times New Roman" w:eastAsiaTheme="majorEastAsia" w:hAnsi="Times New Roman"/>
                <w:lang w:eastAsia="pl-PL"/>
              </w:rPr>
              <w:t xml:space="preserve"> </w:t>
            </w:r>
            <w:proofErr w:type="spellStart"/>
            <w:r w:rsidRPr="00893A4C">
              <w:rPr>
                <w:rFonts w:ascii="Times New Roman" w:eastAsiaTheme="majorEastAsia" w:hAnsi="Times New Roman"/>
                <w:lang w:eastAsia="pl-PL"/>
              </w:rPr>
              <w:t>Geoplan</w:t>
            </w:r>
            <w:proofErr w:type="spellEnd"/>
            <w:r w:rsidRPr="00893A4C">
              <w:rPr>
                <w:rFonts w:ascii="Times New Roman" w:eastAsiaTheme="majorEastAsia" w:hAnsi="Times New Roman"/>
                <w:lang w:eastAsia="pl-PL"/>
              </w:rPr>
              <w:t xml:space="preserve"> </w:t>
            </w:r>
            <w:r w:rsidRPr="00893A4C">
              <w:rPr>
                <w:rFonts w:ascii="Times New Roman" w:hAnsi="Times New Roman"/>
                <w:lang w:eastAsia="pl-PL"/>
              </w:rPr>
              <w:t xml:space="preserve">Zestaw przeznaczony jest do zajęć edukacyjnych rozwijających wyobraźnię przestrzenną, logiczne myślenie, koncentrację oraz umiejętności matematyczne uczniów. Może być wykorzystywany podczas pracy indywidualnej i grupowej w edukacji wczesnoszkolnej oraz na wyższych etapach nauczania. </w:t>
            </w:r>
            <w:proofErr w:type="spellStart"/>
            <w:r w:rsidRPr="00893A4C">
              <w:rPr>
                <w:rFonts w:ascii="Times New Roman" w:hAnsi="Times New Roman"/>
                <w:lang w:eastAsia="pl-PL"/>
              </w:rPr>
              <w:t>Geoplan</w:t>
            </w:r>
            <w:proofErr w:type="spellEnd"/>
            <w:r w:rsidRPr="00893A4C">
              <w:rPr>
                <w:rFonts w:ascii="Times New Roman" w:hAnsi="Times New Roman"/>
                <w:lang w:eastAsia="pl-PL"/>
              </w:rPr>
              <w:t xml:space="preserve"> umożliwia tworzenie różnorodnych figur geometrycznych za pomocą rozciąganych gumek na siatce punktowej, co wspiera naukę geometrii, rozpoznawanie kształtów, symetrii oraz relacji przestrzennych. Zestaw sprzyja także rozwijaniu koordynacji wzrokowo-ruchowej oraz zdolności manualnych. Elementy wykonane są z trwałych i bezpiecznych materiałów, przystosowanych do intensywnego użytkowania w warunkach szkolnych. Kolorowa forma zestawu zwiększa atrakcyjność zajęć i motywuje uczniów do aktywnej pracy.</w:t>
            </w:r>
          </w:p>
        </w:tc>
        <w:tc>
          <w:tcPr>
            <w:tcW w:w="850" w:type="dxa"/>
          </w:tcPr>
          <w:p w14:paraId="50147F56" w14:textId="77777777" w:rsidR="00893A4C" w:rsidRPr="00893A4C" w:rsidRDefault="00893A4C" w:rsidP="00893A4C">
            <w:pPr>
              <w:spacing w:after="160" w:line="259" w:lineRule="auto"/>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6</w:t>
            </w:r>
          </w:p>
        </w:tc>
        <w:tc>
          <w:tcPr>
            <w:tcW w:w="1275" w:type="dxa"/>
          </w:tcPr>
          <w:p w14:paraId="3D65F0F1"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0AD91A35"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bl>
    <w:p w14:paraId="6D8521A0" w14:textId="77777777" w:rsidR="00D50593" w:rsidRDefault="00D50593" w:rsidP="00542156">
      <w:pPr>
        <w:spacing w:after="0" w:line="360" w:lineRule="auto"/>
        <w:rPr>
          <w:rFonts w:asciiTheme="minorHAnsi" w:hAnsiTheme="minorHAnsi" w:cstheme="minorHAnsi"/>
          <w:bCs/>
          <w:sz w:val="24"/>
          <w:szCs w:val="24"/>
          <w:lang w:eastAsia="pl-PL"/>
        </w:rPr>
      </w:pPr>
    </w:p>
    <w:p w14:paraId="3B8B0DF2" w14:textId="77777777" w:rsidR="00542156" w:rsidRPr="000049A8" w:rsidRDefault="00542156" w:rsidP="00542156">
      <w:pPr>
        <w:pStyle w:val="Akapitzlist"/>
        <w:numPr>
          <w:ilvl w:val="0"/>
          <w:numId w:val="1"/>
        </w:numPr>
        <w:spacing w:after="0" w:line="360" w:lineRule="auto"/>
        <w:ind w:left="284" w:hanging="284"/>
        <w:contextualSpacing w:val="0"/>
        <w:rPr>
          <w:rFonts w:cs="Calibri"/>
          <w:b/>
          <w:sz w:val="24"/>
          <w:szCs w:val="24"/>
        </w:rPr>
      </w:pPr>
      <w:r w:rsidRPr="000049A8">
        <w:rPr>
          <w:rFonts w:cs="Calibri"/>
          <w:b/>
          <w:sz w:val="24"/>
          <w:szCs w:val="24"/>
        </w:rPr>
        <w:t>OŚWIADCZENIA:</w:t>
      </w:r>
    </w:p>
    <w:p w14:paraId="60A2CD76" w14:textId="77777777" w:rsidR="00542156" w:rsidRPr="000049A8" w:rsidRDefault="00542156" w:rsidP="00542156">
      <w:pPr>
        <w:pStyle w:val="Akapitzlist"/>
        <w:numPr>
          <w:ilvl w:val="0"/>
          <w:numId w:val="3"/>
        </w:numPr>
        <w:spacing w:after="0" w:line="360" w:lineRule="auto"/>
        <w:ind w:left="709" w:hanging="283"/>
        <w:contextualSpacing w:val="0"/>
        <w:rPr>
          <w:rFonts w:cs="Calibri"/>
          <w:sz w:val="24"/>
          <w:szCs w:val="24"/>
        </w:rPr>
      </w:pPr>
      <w:r w:rsidRPr="000049A8">
        <w:rPr>
          <w:rFonts w:cs="Calibri"/>
          <w:sz w:val="24"/>
          <w:szCs w:val="24"/>
        </w:rPr>
        <w:t>Oświadczam/y, że oferowana cena zawiera wszystkie ko</w:t>
      </w:r>
      <w:r>
        <w:rPr>
          <w:rFonts w:cs="Calibri"/>
          <w:sz w:val="24"/>
          <w:szCs w:val="24"/>
        </w:rPr>
        <w:t xml:space="preserve">szty, jakie ponosi Zamawiający </w:t>
      </w:r>
      <w:r w:rsidRPr="000049A8">
        <w:rPr>
          <w:rFonts w:cs="Calibri"/>
          <w:sz w:val="24"/>
          <w:szCs w:val="24"/>
        </w:rPr>
        <w:t>w przypadku wyboru niniejszej oferty.</w:t>
      </w:r>
    </w:p>
    <w:p w14:paraId="60B10BD2" w14:textId="77777777" w:rsidR="00542156" w:rsidRPr="000049A8" w:rsidRDefault="00542156" w:rsidP="00542156">
      <w:pPr>
        <w:pStyle w:val="Akapitzlist"/>
        <w:numPr>
          <w:ilvl w:val="0"/>
          <w:numId w:val="3"/>
        </w:numPr>
        <w:spacing w:after="0" w:line="360" w:lineRule="auto"/>
        <w:ind w:left="709" w:hanging="283"/>
        <w:contextualSpacing w:val="0"/>
        <w:rPr>
          <w:rFonts w:cs="Calibri"/>
          <w:sz w:val="24"/>
          <w:szCs w:val="24"/>
        </w:rPr>
      </w:pPr>
      <w:r w:rsidRPr="000049A8">
        <w:rPr>
          <w:rFonts w:cs="Calibri"/>
          <w:sz w:val="24"/>
          <w:szCs w:val="24"/>
        </w:rPr>
        <w:lastRenderedPageBreak/>
        <w:t xml:space="preserve">Oświadczam/y, że zapoznałem/liśmy się z wymaganiami Zamawiającego, dotyczącymi przedmiotu zamówienia zamieszczonymi w Zapytaniu ofertowym wraz z załącznikami </w:t>
      </w:r>
      <w:r>
        <w:rPr>
          <w:rFonts w:cs="Calibri"/>
          <w:sz w:val="24"/>
          <w:szCs w:val="24"/>
        </w:rPr>
        <w:br/>
      </w:r>
      <w:r w:rsidRPr="000049A8">
        <w:rPr>
          <w:rFonts w:cs="Calibri"/>
          <w:sz w:val="24"/>
          <w:szCs w:val="24"/>
        </w:rPr>
        <w:t>i nie wnoszę/wnosimy do nich żadnych zastrzeżeń.</w:t>
      </w:r>
    </w:p>
    <w:p w14:paraId="031F5CF9" w14:textId="77777777" w:rsidR="00542156" w:rsidRPr="000049A8" w:rsidRDefault="00542156" w:rsidP="00542156">
      <w:pPr>
        <w:pStyle w:val="Akapitzlist"/>
        <w:numPr>
          <w:ilvl w:val="0"/>
          <w:numId w:val="3"/>
        </w:numPr>
        <w:spacing w:after="0" w:line="360" w:lineRule="auto"/>
        <w:ind w:left="709" w:hanging="283"/>
        <w:contextualSpacing w:val="0"/>
        <w:rPr>
          <w:rFonts w:cs="Calibri"/>
          <w:sz w:val="24"/>
          <w:szCs w:val="24"/>
        </w:rPr>
      </w:pPr>
      <w:r w:rsidRPr="000049A8">
        <w:rPr>
          <w:rFonts w:cs="Calibri"/>
          <w:sz w:val="24"/>
          <w:szCs w:val="24"/>
        </w:rPr>
        <w:t>Oświadczam/y, że zrealizuję/</w:t>
      </w:r>
      <w:proofErr w:type="spellStart"/>
      <w:r w:rsidRPr="000049A8">
        <w:rPr>
          <w:rFonts w:cs="Calibri"/>
          <w:sz w:val="24"/>
          <w:szCs w:val="24"/>
        </w:rPr>
        <w:t>emy</w:t>
      </w:r>
      <w:proofErr w:type="spellEnd"/>
      <w:r w:rsidRPr="000049A8">
        <w:rPr>
          <w:rFonts w:cs="Calibri"/>
          <w:sz w:val="24"/>
          <w:szCs w:val="24"/>
        </w:rPr>
        <w:t xml:space="preserve"> zamówienie zgodnie z Zapytaniem ofertowym </w:t>
      </w:r>
      <w:r>
        <w:rPr>
          <w:rFonts w:cs="Calibri"/>
          <w:sz w:val="24"/>
          <w:szCs w:val="24"/>
        </w:rPr>
        <w:br/>
      </w:r>
      <w:r w:rsidRPr="000049A8">
        <w:rPr>
          <w:rFonts w:cs="Calibri"/>
          <w:sz w:val="24"/>
          <w:szCs w:val="24"/>
        </w:rPr>
        <w:t xml:space="preserve">i Projektem umowy. </w:t>
      </w:r>
    </w:p>
    <w:p w14:paraId="653E5C3A" w14:textId="77777777" w:rsidR="00542156" w:rsidRPr="000049A8" w:rsidRDefault="00542156" w:rsidP="00542156">
      <w:pPr>
        <w:pStyle w:val="Akapitzlist"/>
        <w:numPr>
          <w:ilvl w:val="0"/>
          <w:numId w:val="3"/>
        </w:numPr>
        <w:spacing w:after="0" w:line="360" w:lineRule="auto"/>
        <w:ind w:left="709" w:hanging="283"/>
        <w:contextualSpacing w:val="0"/>
        <w:rPr>
          <w:rFonts w:cs="Calibri"/>
          <w:sz w:val="24"/>
          <w:szCs w:val="24"/>
        </w:rPr>
      </w:pPr>
      <w:r w:rsidRPr="000049A8">
        <w:rPr>
          <w:rFonts w:cs="Calibri"/>
          <w:sz w:val="24"/>
          <w:szCs w:val="24"/>
        </w:rPr>
        <w:t>Oświadczam/y, że zrealizuję/</w:t>
      </w:r>
      <w:proofErr w:type="spellStart"/>
      <w:r w:rsidRPr="000049A8">
        <w:rPr>
          <w:rFonts w:cs="Calibri"/>
          <w:sz w:val="24"/>
          <w:szCs w:val="24"/>
        </w:rPr>
        <w:t>emy</w:t>
      </w:r>
      <w:proofErr w:type="spellEnd"/>
      <w:r w:rsidRPr="000049A8">
        <w:rPr>
          <w:rFonts w:cs="Calibri"/>
          <w:sz w:val="24"/>
          <w:szCs w:val="24"/>
        </w:rPr>
        <w:t xml:space="preserve"> zamówienie w oferowanym terminie.</w:t>
      </w:r>
    </w:p>
    <w:p w14:paraId="2464F783" w14:textId="77777777" w:rsidR="00542156" w:rsidRPr="000049A8" w:rsidRDefault="00542156" w:rsidP="00542156">
      <w:pPr>
        <w:pStyle w:val="Akapitzlist"/>
        <w:numPr>
          <w:ilvl w:val="0"/>
          <w:numId w:val="3"/>
        </w:numPr>
        <w:spacing w:after="0" w:line="360" w:lineRule="auto"/>
        <w:ind w:left="709" w:hanging="283"/>
        <w:contextualSpacing w:val="0"/>
        <w:rPr>
          <w:rFonts w:cs="Calibri"/>
          <w:sz w:val="24"/>
          <w:szCs w:val="24"/>
        </w:rPr>
      </w:pPr>
      <w:r w:rsidRPr="000049A8">
        <w:rPr>
          <w:rFonts w:cs="Calibri"/>
          <w:sz w:val="24"/>
          <w:szCs w:val="24"/>
        </w:rPr>
        <w:t xml:space="preserve">Oświadczam, że spełniam/y warunki udziału w postępowaniu określone w Zapytaniu ofertowym oraz nie podlegam/y wykluczeniu z postępowania, tj.: </w:t>
      </w:r>
    </w:p>
    <w:p w14:paraId="50783049" w14:textId="77777777" w:rsidR="00542156" w:rsidRPr="000049A8" w:rsidRDefault="00542156" w:rsidP="00542156">
      <w:pPr>
        <w:pStyle w:val="Akapitzlist"/>
        <w:numPr>
          <w:ilvl w:val="0"/>
          <w:numId w:val="4"/>
        </w:numPr>
        <w:spacing w:after="0" w:line="360" w:lineRule="auto"/>
        <w:ind w:left="1276" w:hanging="283"/>
        <w:contextualSpacing w:val="0"/>
        <w:rPr>
          <w:rFonts w:cs="Calibri"/>
          <w:sz w:val="24"/>
          <w:szCs w:val="24"/>
        </w:rPr>
      </w:pPr>
      <w:r w:rsidRPr="000049A8">
        <w:rPr>
          <w:rFonts w:cs="Calibri"/>
          <w:sz w:val="24"/>
          <w:szCs w:val="24"/>
        </w:rPr>
        <w:t>posiadam kompetencje i uprawnienia niezbędne do wykonania przedmiotowego zamówienia;</w:t>
      </w:r>
    </w:p>
    <w:p w14:paraId="2DE1363D" w14:textId="77777777" w:rsidR="00542156" w:rsidRPr="000049A8" w:rsidRDefault="00542156" w:rsidP="00542156">
      <w:pPr>
        <w:pStyle w:val="Akapitzlist"/>
        <w:numPr>
          <w:ilvl w:val="0"/>
          <w:numId w:val="4"/>
        </w:numPr>
        <w:spacing w:after="0" w:line="360" w:lineRule="auto"/>
        <w:ind w:left="1276" w:hanging="283"/>
        <w:contextualSpacing w:val="0"/>
        <w:rPr>
          <w:rFonts w:cs="Calibri"/>
          <w:sz w:val="24"/>
          <w:szCs w:val="24"/>
        </w:rPr>
      </w:pPr>
      <w:r w:rsidRPr="000049A8">
        <w:rPr>
          <w:rFonts w:cs="Calibri"/>
          <w:sz w:val="24"/>
          <w:szCs w:val="24"/>
        </w:rPr>
        <w:t xml:space="preserve">dysponuję niezbędną wiedzą i doświadczeniem; </w:t>
      </w:r>
    </w:p>
    <w:p w14:paraId="33EA9435" w14:textId="77777777" w:rsidR="00542156" w:rsidRPr="000049A8" w:rsidRDefault="00542156" w:rsidP="00542156">
      <w:pPr>
        <w:pStyle w:val="Akapitzlist"/>
        <w:numPr>
          <w:ilvl w:val="0"/>
          <w:numId w:val="4"/>
        </w:numPr>
        <w:spacing w:after="0" w:line="360" w:lineRule="auto"/>
        <w:ind w:left="1276" w:hanging="283"/>
        <w:contextualSpacing w:val="0"/>
        <w:rPr>
          <w:rFonts w:cs="Calibri"/>
          <w:sz w:val="24"/>
          <w:szCs w:val="24"/>
        </w:rPr>
      </w:pPr>
      <w:r w:rsidRPr="000049A8">
        <w:rPr>
          <w:rFonts w:cs="Calibri"/>
          <w:sz w:val="24"/>
          <w:szCs w:val="24"/>
        </w:rPr>
        <w:t>dysponuję potencjałem technicznym oraz osobami zdolnymi do wykonania zamówienia;</w:t>
      </w:r>
    </w:p>
    <w:p w14:paraId="49448B1F" w14:textId="77777777" w:rsidR="00542156" w:rsidRPr="000049A8" w:rsidRDefault="00542156" w:rsidP="00542156">
      <w:pPr>
        <w:pStyle w:val="Akapitzlist"/>
        <w:numPr>
          <w:ilvl w:val="0"/>
          <w:numId w:val="4"/>
        </w:numPr>
        <w:spacing w:after="0" w:line="360" w:lineRule="auto"/>
        <w:ind w:left="1276" w:hanging="283"/>
        <w:contextualSpacing w:val="0"/>
        <w:rPr>
          <w:rFonts w:cs="Calibri"/>
          <w:sz w:val="24"/>
          <w:szCs w:val="24"/>
        </w:rPr>
      </w:pPr>
      <w:r w:rsidRPr="000049A8">
        <w:rPr>
          <w:rFonts w:cs="Calibri"/>
          <w:sz w:val="24"/>
          <w:szCs w:val="24"/>
        </w:rPr>
        <w:t xml:space="preserve">znajduję się w sytuacji ekonomicznej i finansowej zapewniającej wykonanie zamówienia; </w:t>
      </w:r>
    </w:p>
    <w:p w14:paraId="60A1B283" w14:textId="77777777" w:rsidR="00542156" w:rsidRPr="000049A8" w:rsidRDefault="00542156" w:rsidP="00542156">
      <w:pPr>
        <w:pStyle w:val="Akapitzlist"/>
        <w:numPr>
          <w:ilvl w:val="0"/>
          <w:numId w:val="4"/>
        </w:numPr>
        <w:spacing w:after="0" w:line="360" w:lineRule="auto"/>
        <w:ind w:left="1276" w:hanging="283"/>
        <w:contextualSpacing w:val="0"/>
        <w:rPr>
          <w:rFonts w:cs="Calibri"/>
          <w:sz w:val="24"/>
          <w:szCs w:val="24"/>
        </w:rPr>
      </w:pPr>
      <w:r w:rsidRPr="000049A8">
        <w:rPr>
          <w:rFonts w:cs="Calibri"/>
          <w:sz w:val="24"/>
          <w:szCs w:val="24"/>
        </w:rPr>
        <w:t xml:space="preserve">Otwarto /nie otwarto* wobec mnie/nas likwidacji ani nie ogłoszono upadłości </w:t>
      </w:r>
      <w:r w:rsidRPr="000049A8">
        <w:rPr>
          <w:rFonts w:cs="Calibri"/>
          <w:i/>
          <w:sz w:val="24"/>
          <w:szCs w:val="24"/>
        </w:rPr>
        <w:t>(*niepotrzebne skreślić).</w:t>
      </w:r>
    </w:p>
    <w:p w14:paraId="364A2C53" w14:textId="77777777" w:rsidR="00542156" w:rsidRPr="000049A8" w:rsidRDefault="00542156" w:rsidP="00542156">
      <w:pPr>
        <w:pStyle w:val="Akapitzlist"/>
        <w:numPr>
          <w:ilvl w:val="0"/>
          <w:numId w:val="3"/>
        </w:numPr>
        <w:spacing w:after="0" w:line="360" w:lineRule="auto"/>
        <w:ind w:left="709" w:hanging="283"/>
        <w:contextualSpacing w:val="0"/>
        <w:rPr>
          <w:rFonts w:cs="Calibri"/>
          <w:i/>
          <w:sz w:val="24"/>
          <w:szCs w:val="24"/>
        </w:rPr>
      </w:pPr>
      <w:r w:rsidRPr="000049A8">
        <w:rPr>
          <w:rFonts w:cs="Calibri"/>
          <w:sz w:val="24"/>
          <w:szCs w:val="24"/>
        </w:rPr>
        <w:t xml:space="preserve">Oświadczam/y, że informacje i dokumenty zawarte w Ofercie na stronach </w:t>
      </w:r>
      <w:r w:rsidRPr="000049A8">
        <w:rPr>
          <w:rFonts w:cs="Calibri"/>
          <w:sz w:val="24"/>
          <w:szCs w:val="24"/>
        </w:rPr>
        <w:br/>
        <w:t xml:space="preserve">od nr ........................do nr ......................... stanowią tajemnicę przedsiębiorstwa </w:t>
      </w:r>
      <w:r>
        <w:rPr>
          <w:rFonts w:cs="Calibri"/>
          <w:sz w:val="24"/>
          <w:szCs w:val="24"/>
        </w:rPr>
        <w:br/>
      </w:r>
      <w:r w:rsidRPr="000049A8">
        <w:rPr>
          <w:rFonts w:cs="Calibri"/>
          <w:sz w:val="24"/>
          <w:szCs w:val="24"/>
        </w:rPr>
        <w:t xml:space="preserve">w rozumieniu przepisów o zwalczaniu nieuczciwej konkurencji i zastrzegamy, że nie mogą być one udostępniane. Informacje i dokumenty zawarte na pozostałych stronach Oferty są jawne. </w:t>
      </w:r>
      <w:r w:rsidRPr="000049A8">
        <w:rPr>
          <w:rFonts w:cs="Calibri"/>
          <w:sz w:val="24"/>
          <w:szCs w:val="24"/>
        </w:rPr>
        <w:br/>
      </w:r>
      <w:r w:rsidRPr="000049A8">
        <w:rPr>
          <w:rFonts w:cs="Calibri"/>
          <w:i/>
          <w:sz w:val="24"/>
          <w:szCs w:val="24"/>
        </w:rPr>
        <w:t>(W przypadku utajnienia oferty Wykonawca zobowiązany jest wykazać, iż zastrzeżone informacje stanowią tajemnicę przedsiębiorstwa w szczególności określając, w jaki sposób zostały spełnione przesłanki, o których mowa w art. 11 pkt. 4</w:t>
      </w:r>
      <w:r>
        <w:rPr>
          <w:rFonts w:cs="Calibri"/>
          <w:i/>
          <w:sz w:val="24"/>
          <w:szCs w:val="24"/>
        </w:rPr>
        <w:t xml:space="preserve"> ustawy z 16 kwietnia 1993 r. </w:t>
      </w:r>
      <w:r w:rsidRPr="000049A8">
        <w:rPr>
          <w:rFonts w:cs="Calibri"/>
          <w:i/>
          <w:sz w:val="24"/>
          <w:szCs w:val="24"/>
        </w:rPr>
        <w:t>o zwalczaniu nieuczciwej konkurencji, zgodnie z którym tajemnicę przedsiębiorstwa stanowi określona informacja, jeżeli spełnia łącznie 3 warunki:</w:t>
      </w:r>
    </w:p>
    <w:p w14:paraId="569332BC" w14:textId="77777777" w:rsidR="00542156" w:rsidRPr="000049A8" w:rsidRDefault="00542156" w:rsidP="00542156">
      <w:pPr>
        <w:pStyle w:val="Akapitzlist"/>
        <w:numPr>
          <w:ilvl w:val="0"/>
          <w:numId w:val="5"/>
        </w:numPr>
        <w:spacing w:after="0" w:line="360" w:lineRule="auto"/>
        <w:ind w:left="1276" w:hanging="283"/>
        <w:contextualSpacing w:val="0"/>
        <w:rPr>
          <w:rFonts w:cs="Calibri"/>
          <w:i/>
          <w:sz w:val="24"/>
          <w:szCs w:val="24"/>
        </w:rPr>
      </w:pPr>
      <w:r w:rsidRPr="000049A8">
        <w:rPr>
          <w:rFonts w:cs="Calibri"/>
          <w:i/>
          <w:sz w:val="24"/>
          <w:szCs w:val="24"/>
        </w:rPr>
        <w:t>ma charakter techniczny, technologiczny, organizacyjny przedsiębiorstwa lub jest to inna informacja mająca wartość gospodarczą;</w:t>
      </w:r>
    </w:p>
    <w:p w14:paraId="680E342E" w14:textId="77777777" w:rsidR="00542156" w:rsidRPr="000049A8" w:rsidRDefault="00542156" w:rsidP="00542156">
      <w:pPr>
        <w:pStyle w:val="Akapitzlist"/>
        <w:numPr>
          <w:ilvl w:val="0"/>
          <w:numId w:val="5"/>
        </w:numPr>
        <w:spacing w:after="0" w:line="360" w:lineRule="auto"/>
        <w:ind w:left="1276" w:hanging="283"/>
        <w:contextualSpacing w:val="0"/>
        <w:rPr>
          <w:rFonts w:cs="Calibri"/>
          <w:i/>
          <w:sz w:val="24"/>
          <w:szCs w:val="24"/>
        </w:rPr>
      </w:pPr>
      <w:r w:rsidRPr="000049A8">
        <w:rPr>
          <w:rFonts w:cs="Calibri"/>
          <w:i/>
          <w:sz w:val="24"/>
          <w:szCs w:val="24"/>
        </w:rPr>
        <w:t>nie została ujawniona do wiadomości publicznej;</w:t>
      </w:r>
    </w:p>
    <w:p w14:paraId="03F4B968" w14:textId="77777777" w:rsidR="00542156" w:rsidRPr="000049A8" w:rsidRDefault="00542156" w:rsidP="00542156">
      <w:pPr>
        <w:pStyle w:val="Akapitzlist"/>
        <w:numPr>
          <w:ilvl w:val="0"/>
          <w:numId w:val="5"/>
        </w:numPr>
        <w:spacing w:after="0" w:line="360" w:lineRule="auto"/>
        <w:ind w:left="1276" w:hanging="283"/>
        <w:contextualSpacing w:val="0"/>
        <w:rPr>
          <w:rFonts w:cs="Calibri"/>
          <w:i/>
          <w:sz w:val="24"/>
          <w:szCs w:val="24"/>
        </w:rPr>
      </w:pPr>
      <w:r w:rsidRPr="000049A8">
        <w:rPr>
          <w:rFonts w:cs="Calibri"/>
          <w:i/>
          <w:sz w:val="24"/>
          <w:szCs w:val="24"/>
        </w:rPr>
        <w:t>podjęto w stosunku do niej niezbędne działania w celu zachowania poufności.)</w:t>
      </w:r>
    </w:p>
    <w:p w14:paraId="7E34566D" w14:textId="77777777" w:rsidR="00542156" w:rsidRPr="000049A8" w:rsidRDefault="00542156" w:rsidP="00542156">
      <w:pPr>
        <w:pStyle w:val="Akapitzlist"/>
        <w:numPr>
          <w:ilvl w:val="0"/>
          <w:numId w:val="3"/>
        </w:numPr>
        <w:spacing w:after="0" w:line="360" w:lineRule="auto"/>
        <w:ind w:left="709" w:hanging="283"/>
        <w:contextualSpacing w:val="0"/>
        <w:rPr>
          <w:rFonts w:eastAsia="Calibri" w:cs="Calibri"/>
          <w:iCs/>
          <w:sz w:val="24"/>
          <w:szCs w:val="24"/>
        </w:rPr>
      </w:pPr>
      <w:r w:rsidRPr="000049A8">
        <w:rPr>
          <w:rFonts w:eastAsia="Calibri" w:cs="Calibri"/>
          <w:iCs/>
          <w:sz w:val="24"/>
          <w:szCs w:val="24"/>
        </w:rPr>
        <w:lastRenderedPageBreak/>
        <w:t>Całość zamówienia wykonam sam bez powierzenia podwykonawcom jakiejkolwiek części zamówienia/ część zamówienia zamierzam powierz</w:t>
      </w:r>
      <w:r>
        <w:rPr>
          <w:rFonts w:eastAsia="Calibri" w:cs="Calibri"/>
          <w:iCs/>
          <w:sz w:val="24"/>
          <w:szCs w:val="24"/>
        </w:rPr>
        <w:t>yć podwykonawcom (n</w:t>
      </w:r>
      <w:r w:rsidRPr="003149F4">
        <w:rPr>
          <w:rFonts w:eastAsia="Calibri" w:cs="Calibri"/>
          <w:iCs/>
          <w:sz w:val="24"/>
          <w:szCs w:val="24"/>
        </w:rPr>
        <w:t>iepotrzebne skreślić</w:t>
      </w:r>
      <w:r>
        <w:rPr>
          <w:rFonts w:eastAsia="Calibri" w:cs="Calibri"/>
          <w:iCs/>
          <w:sz w:val="24"/>
          <w:szCs w:val="24"/>
        </w:rPr>
        <w:t xml:space="preserve">),w następującym </w:t>
      </w:r>
      <w:r w:rsidRPr="000049A8">
        <w:rPr>
          <w:rFonts w:eastAsia="Calibri" w:cs="Calibri"/>
          <w:iCs/>
          <w:sz w:val="24"/>
          <w:szCs w:val="24"/>
        </w:rPr>
        <w:t>z</w:t>
      </w:r>
      <w:r>
        <w:rPr>
          <w:rFonts w:eastAsia="Calibri" w:cs="Calibri"/>
          <w:iCs/>
          <w:sz w:val="24"/>
          <w:szCs w:val="24"/>
        </w:rPr>
        <w:t>akresie.……………………………..……</w:t>
      </w:r>
      <w:r w:rsidRPr="000049A8">
        <w:rPr>
          <w:rFonts w:eastAsia="Calibri" w:cs="Calibri"/>
          <w:iCs/>
          <w:sz w:val="24"/>
          <w:szCs w:val="24"/>
        </w:rPr>
        <w:t xml:space="preserve">………………… </w:t>
      </w:r>
    </w:p>
    <w:p w14:paraId="38E493E0" w14:textId="77777777" w:rsidR="00542156" w:rsidRPr="000049A8" w:rsidRDefault="00542156" w:rsidP="00542156">
      <w:pPr>
        <w:pStyle w:val="Akapitzlist"/>
        <w:spacing w:after="0" w:line="360" w:lineRule="auto"/>
        <w:ind w:left="709"/>
        <w:contextualSpacing w:val="0"/>
        <w:rPr>
          <w:rFonts w:eastAsia="Calibri" w:cs="Calibri"/>
          <w:iCs/>
          <w:sz w:val="24"/>
          <w:szCs w:val="24"/>
        </w:rPr>
      </w:pPr>
      <w:r w:rsidRPr="000049A8">
        <w:rPr>
          <w:rFonts w:eastAsia="Calibri" w:cs="Calibri"/>
          <w:iCs/>
          <w:sz w:val="24"/>
          <w:szCs w:val="24"/>
        </w:rPr>
        <w:t>Nazwa i adres podw</w:t>
      </w:r>
      <w:r>
        <w:rPr>
          <w:rFonts w:eastAsia="Calibri" w:cs="Calibri"/>
          <w:iCs/>
          <w:sz w:val="24"/>
          <w:szCs w:val="24"/>
        </w:rPr>
        <w:t>ykonawcy ……………………………………………………</w:t>
      </w:r>
      <w:r w:rsidRPr="000049A8">
        <w:rPr>
          <w:rFonts w:eastAsia="Calibri" w:cs="Calibri"/>
          <w:iCs/>
          <w:sz w:val="24"/>
          <w:szCs w:val="24"/>
        </w:rPr>
        <w:t>………………………………</w:t>
      </w:r>
    </w:p>
    <w:p w14:paraId="3409D104" w14:textId="77777777" w:rsidR="00542156" w:rsidRDefault="00542156" w:rsidP="00542156">
      <w:pPr>
        <w:pStyle w:val="Akapitzlist"/>
        <w:spacing w:after="0" w:line="360" w:lineRule="auto"/>
        <w:ind w:left="709"/>
        <w:contextualSpacing w:val="0"/>
        <w:rPr>
          <w:rFonts w:eastAsia="Calibri" w:cs="Calibri"/>
          <w:iCs/>
          <w:sz w:val="24"/>
          <w:szCs w:val="24"/>
        </w:rPr>
      </w:pPr>
      <w:r w:rsidRPr="000049A8">
        <w:rPr>
          <w:rFonts w:eastAsia="Calibri" w:cs="Calibri"/>
          <w:iCs/>
          <w:sz w:val="24"/>
          <w:szCs w:val="24"/>
        </w:rPr>
        <w:t>Wartość lub procentowa część zamówienia, jaka zostanie powierzona Podwykon</w:t>
      </w:r>
      <w:r>
        <w:rPr>
          <w:rFonts w:eastAsia="Calibri" w:cs="Calibri"/>
          <w:iCs/>
          <w:sz w:val="24"/>
          <w:szCs w:val="24"/>
        </w:rPr>
        <w:t>awcy lub Podwykonawcom: ….……</w:t>
      </w:r>
      <w:r w:rsidRPr="000049A8">
        <w:rPr>
          <w:rFonts w:eastAsia="Calibri" w:cs="Calibri"/>
          <w:iCs/>
          <w:sz w:val="24"/>
          <w:szCs w:val="24"/>
        </w:rPr>
        <w:t>……………………………………………………………….…………………</w:t>
      </w:r>
    </w:p>
    <w:p w14:paraId="77A45BB8" w14:textId="77777777" w:rsidR="00542156" w:rsidRPr="000049A8" w:rsidRDefault="00542156" w:rsidP="00542156">
      <w:pPr>
        <w:pStyle w:val="Akapitzlist"/>
        <w:spacing w:after="0" w:line="360" w:lineRule="auto"/>
        <w:ind w:left="709"/>
        <w:contextualSpacing w:val="0"/>
        <w:rPr>
          <w:rFonts w:eastAsia="Calibri" w:cs="Calibri"/>
          <w:iCs/>
          <w:sz w:val="24"/>
          <w:szCs w:val="24"/>
        </w:rPr>
      </w:pPr>
      <w:r>
        <w:rPr>
          <w:rFonts w:eastAsia="Calibri" w:cs="Calibri"/>
          <w:iCs/>
          <w:sz w:val="24"/>
          <w:szCs w:val="24"/>
        </w:rPr>
        <w:t>(</w:t>
      </w:r>
      <w:r w:rsidRPr="00312499">
        <w:rPr>
          <w:rFonts w:eastAsia="Calibri" w:cs="Calibri"/>
          <w:iCs/>
          <w:sz w:val="24"/>
          <w:szCs w:val="24"/>
        </w:rPr>
        <w:t>wypełnia Wykonawca, który zamierza powierzyć część zamówienia Podwykonawcy lub Podwykonawcom</w:t>
      </w:r>
      <w:r>
        <w:rPr>
          <w:rFonts w:eastAsia="Calibri" w:cs="Calibri"/>
          <w:iCs/>
          <w:sz w:val="24"/>
          <w:szCs w:val="24"/>
        </w:rPr>
        <w:t>)</w:t>
      </w:r>
      <w:r w:rsidRPr="00312499">
        <w:rPr>
          <w:rFonts w:eastAsia="Calibri" w:cs="Calibri"/>
          <w:iCs/>
          <w:sz w:val="24"/>
          <w:szCs w:val="24"/>
        </w:rPr>
        <w:t>.</w:t>
      </w:r>
    </w:p>
    <w:p w14:paraId="775F96CE" w14:textId="77777777" w:rsidR="00542156" w:rsidRPr="000049A8" w:rsidRDefault="00542156" w:rsidP="00542156">
      <w:pPr>
        <w:pStyle w:val="Akapitzlist"/>
        <w:numPr>
          <w:ilvl w:val="0"/>
          <w:numId w:val="3"/>
        </w:numPr>
        <w:spacing w:after="0" w:line="360" w:lineRule="auto"/>
        <w:ind w:left="709" w:hanging="283"/>
        <w:contextualSpacing w:val="0"/>
        <w:rPr>
          <w:rFonts w:eastAsia="Calibri" w:cs="Calibri"/>
          <w:iCs/>
          <w:sz w:val="24"/>
          <w:szCs w:val="24"/>
        </w:rPr>
      </w:pPr>
      <w:r w:rsidRPr="000049A8">
        <w:rPr>
          <w:rFonts w:eastAsia="Calibri" w:cs="Calibri"/>
          <w:iCs/>
          <w:sz w:val="24"/>
          <w:szCs w:val="24"/>
        </w:rPr>
        <w:t>Oświadczam, że wypełniłem obowiązki informacyjne przewidziane w art. 13 lub art. 14 RODO wobec osób fizycznych, od których dane osobowe bezpośr</w:t>
      </w:r>
      <w:r>
        <w:rPr>
          <w:rFonts w:eastAsia="Calibri" w:cs="Calibri"/>
          <w:iCs/>
          <w:sz w:val="24"/>
          <w:szCs w:val="24"/>
        </w:rPr>
        <w:t xml:space="preserve">ednio lub pośrednio pozyskałem </w:t>
      </w:r>
      <w:r w:rsidRPr="000049A8">
        <w:rPr>
          <w:rFonts w:eastAsia="Calibri" w:cs="Calibri"/>
          <w:iCs/>
          <w:sz w:val="24"/>
          <w:szCs w:val="24"/>
        </w:rPr>
        <w:t>w celu ubiegania się o udzielenie zamówienia publicznego w n</w:t>
      </w:r>
      <w:r>
        <w:rPr>
          <w:rFonts w:eastAsia="Calibri" w:cs="Calibri"/>
          <w:iCs/>
          <w:sz w:val="24"/>
          <w:szCs w:val="24"/>
        </w:rPr>
        <w:t>iniejszym postępowaniu.</w:t>
      </w:r>
      <w:r>
        <w:rPr>
          <w:rFonts w:eastAsia="Calibri" w:cs="Calibri"/>
          <w:iCs/>
          <w:sz w:val="24"/>
          <w:szCs w:val="24"/>
        </w:rPr>
        <w:br/>
      </w:r>
      <w:r w:rsidRPr="003149F4">
        <w:rPr>
          <w:rFonts w:eastAsia="Calibri" w:cs="Calibri"/>
          <w:iCs/>
          <w:sz w:val="24"/>
          <w:szCs w:val="24"/>
          <w:u w:val="single"/>
        </w:rPr>
        <w:t>(W przypadku gdy wykonawca nie przekazuje danych osobowych innych niż bezpośrednio jego dotyczących lub zachodzi wyłączenie stosowania obowiązku informacyjnego, stosownie do art. 13 ust. 4 lub art. 14 ust. 5 RODO treści oświadczenia Wykonawca nie składa, w takim przypadku należy przekreślić treść powyższego punktu).</w:t>
      </w:r>
    </w:p>
    <w:p w14:paraId="78EE2A05" w14:textId="77777777" w:rsidR="00542156" w:rsidRDefault="00542156" w:rsidP="00542156">
      <w:pPr>
        <w:pStyle w:val="Akapitzlist"/>
        <w:spacing w:after="0" w:line="360" w:lineRule="auto"/>
        <w:ind w:left="0"/>
        <w:contextualSpacing w:val="0"/>
        <w:rPr>
          <w:rFonts w:eastAsia="Calibri" w:cs="Calibri"/>
          <w:b/>
          <w:iCs/>
          <w:sz w:val="24"/>
          <w:szCs w:val="24"/>
        </w:rPr>
      </w:pPr>
      <w:r w:rsidRPr="000049A8">
        <w:rPr>
          <w:rFonts w:eastAsia="Calibri" w:cs="Calibri"/>
          <w:b/>
          <w:iCs/>
          <w:sz w:val="24"/>
          <w:szCs w:val="24"/>
        </w:rPr>
        <w:t>Wszystkie informacje podane w powyższych oświadczeniach są aktualne i zgodne z prawdą oraz zostały przedstawione z pełną świadomością konsekwencji wprowadzenia Zamawiającego w błąd przy przedstawieniu informacji.</w:t>
      </w:r>
    </w:p>
    <w:p w14:paraId="63CEEB2A" w14:textId="77777777" w:rsidR="00542156" w:rsidRDefault="00542156" w:rsidP="00542156">
      <w:pPr>
        <w:pStyle w:val="Akapitzlist"/>
        <w:spacing w:after="0" w:line="360" w:lineRule="auto"/>
        <w:ind w:left="0"/>
        <w:contextualSpacing w:val="0"/>
        <w:rPr>
          <w:rFonts w:cs="Calibri"/>
          <w:b/>
          <w:sz w:val="24"/>
          <w:szCs w:val="24"/>
        </w:rPr>
      </w:pPr>
    </w:p>
    <w:p w14:paraId="14209316" w14:textId="77777777" w:rsidR="00542156" w:rsidRDefault="00542156" w:rsidP="00542156">
      <w:pPr>
        <w:pStyle w:val="Akapitzlist"/>
        <w:spacing w:after="0" w:line="360" w:lineRule="auto"/>
        <w:ind w:left="0"/>
        <w:contextualSpacing w:val="0"/>
        <w:rPr>
          <w:rFonts w:cs="Calibri"/>
          <w:b/>
          <w:sz w:val="24"/>
          <w:szCs w:val="24"/>
        </w:rPr>
      </w:pPr>
    </w:p>
    <w:p w14:paraId="40B76AE4" w14:textId="77777777" w:rsidR="00542156" w:rsidRPr="000049A8" w:rsidRDefault="00542156" w:rsidP="00542156">
      <w:pPr>
        <w:pStyle w:val="Akapitzlist"/>
        <w:spacing w:after="0" w:line="360" w:lineRule="auto"/>
        <w:ind w:left="0"/>
        <w:contextualSpacing w:val="0"/>
        <w:rPr>
          <w:rFonts w:cs="Calibri"/>
          <w:b/>
          <w:sz w:val="24"/>
          <w:szCs w:val="24"/>
        </w:rPr>
      </w:pPr>
    </w:p>
    <w:p w14:paraId="578C73A2" w14:textId="77777777" w:rsidR="00542156" w:rsidRPr="000049A8" w:rsidRDefault="00542156" w:rsidP="00542156">
      <w:pPr>
        <w:pStyle w:val="Akapitzlist"/>
        <w:spacing w:after="0" w:line="360" w:lineRule="auto"/>
        <w:ind w:left="0"/>
        <w:rPr>
          <w:rFonts w:cs="Calibri"/>
          <w:b/>
          <w:sz w:val="24"/>
          <w:szCs w:val="24"/>
        </w:rPr>
      </w:pPr>
    </w:p>
    <w:p w14:paraId="423D00A4" w14:textId="77777777" w:rsidR="00542156" w:rsidRDefault="00542156" w:rsidP="00542156">
      <w:pPr>
        <w:spacing w:after="0" w:line="360" w:lineRule="auto"/>
        <w:rPr>
          <w:rFonts w:cs="Calibri"/>
          <w:sz w:val="24"/>
          <w:szCs w:val="24"/>
        </w:rPr>
      </w:pPr>
      <w:r w:rsidRPr="000049A8">
        <w:rPr>
          <w:rFonts w:cs="Calibri"/>
          <w:sz w:val="24"/>
          <w:szCs w:val="24"/>
        </w:rPr>
        <w:t>…………………………….…………</w:t>
      </w:r>
      <w:r>
        <w:rPr>
          <w:rFonts w:cs="Calibri"/>
          <w:sz w:val="24"/>
          <w:szCs w:val="24"/>
        </w:rPr>
        <w:t>..</w:t>
      </w:r>
      <w:r w:rsidRPr="000049A8">
        <w:rPr>
          <w:rFonts w:cs="Calibri"/>
          <w:sz w:val="24"/>
          <w:szCs w:val="24"/>
        </w:rPr>
        <w:t>……</w:t>
      </w:r>
      <w:r>
        <w:rPr>
          <w:rFonts w:cs="Calibri"/>
          <w:sz w:val="24"/>
          <w:szCs w:val="24"/>
        </w:rPr>
        <w:t xml:space="preserve">                                                   …….………………….</w:t>
      </w:r>
      <w:r w:rsidRPr="000049A8">
        <w:rPr>
          <w:rFonts w:cs="Calibri"/>
          <w:sz w:val="24"/>
          <w:szCs w:val="24"/>
        </w:rPr>
        <w:t>.……</w:t>
      </w:r>
      <w:r>
        <w:rPr>
          <w:rFonts w:cs="Calibri"/>
          <w:sz w:val="24"/>
          <w:szCs w:val="24"/>
        </w:rPr>
        <w:t>………………………..</w:t>
      </w:r>
    </w:p>
    <w:p w14:paraId="394E77E8" w14:textId="77777777" w:rsidR="00542156" w:rsidRPr="000527B9" w:rsidRDefault="00542156" w:rsidP="00542156">
      <w:pPr>
        <w:spacing w:after="0" w:line="360" w:lineRule="auto"/>
        <w:jc w:val="right"/>
        <w:rPr>
          <w:rFonts w:cs="Calibri"/>
          <w:i/>
          <w:iCs/>
          <w:sz w:val="24"/>
          <w:szCs w:val="24"/>
        </w:rPr>
      </w:pPr>
      <w:r w:rsidRPr="000049A8">
        <w:rPr>
          <w:rFonts w:cs="Calibri"/>
          <w:i/>
          <w:iCs/>
          <w:sz w:val="24"/>
          <w:szCs w:val="24"/>
        </w:rPr>
        <w:t>(miejscowość  i data)</w:t>
      </w:r>
      <w:r w:rsidRPr="000049A8">
        <w:rPr>
          <w:rFonts w:cs="Calibri"/>
          <w:sz w:val="24"/>
          <w:szCs w:val="24"/>
        </w:rPr>
        <w:tab/>
      </w:r>
      <w:r>
        <w:rPr>
          <w:rFonts w:cs="Calibri"/>
          <w:sz w:val="24"/>
          <w:szCs w:val="24"/>
        </w:rPr>
        <w:t xml:space="preserve">    </w:t>
      </w:r>
      <w:r w:rsidRPr="000049A8">
        <w:rPr>
          <w:rFonts w:cs="Calibri"/>
          <w:sz w:val="24"/>
          <w:szCs w:val="24"/>
        </w:rPr>
        <w:tab/>
      </w:r>
      <w:r>
        <w:rPr>
          <w:rFonts w:cs="Calibri"/>
          <w:sz w:val="24"/>
          <w:szCs w:val="24"/>
        </w:rPr>
        <w:t xml:space="preserve">                               </w:t>
      </w:r>
      <w:r w:rsidRPr="000049A8">
        <w:rPr>
          <w:rFonts w:cs="Calibri"/>
          <w:i/>
          <w:iCs/>
          <w:sz w:val="24"/>
          <w:szCs w:val="24"/>
        </w:rPr>
        <w:t>(podpis osoby/osób uprawnionej/-</w:t>
      </w:r>
      <w:proofErr w:type="spellStart"/>
      <w:r w:rsidRPr="000049A8">
        <w:rPr>
          <w:rFonts w:cs="Calibri"/>
          <w:i/>
          <w:iCs/>
          <w:sz w:val="24"/>
          <w:szCs w:val="24"/>
        </w:rPr>
        <w:t>ych</w:t>
      </w:r>
      <w:proofErr w:type="spellEnd"/>
      <w:r w:rsidRPr="000049A8">
        <w:rPr>
          <w:rFonts w:cs="Calibri"/>
          <w:i/>
          <w:iCs/>
          <w:sz w:val="24"/>
          <w:szCs w:val="24"/>
        </w:rPr>
        <w:t xml:space="preserve"> do składania  </w:t>
      </w:r>
      <w:r w:rsidRPr="000049A8">
        <w:rPr>
          <w:rFonts w:cs="Calibri"/>
          <w:i/>
          <w:iCs/>
          <w:sz w:val="24"/>
          <w:szCs w:val="24"/>
        </w:rPr>
        <w:br/>
        <w:t>oświadczenia  woli w imieniu Wykonawcy)</w:t>
      </w:r>
    </w:p>
    <w:p w14:paraId="3A1AF59A" w14:textId="77777777" w:rsidR="009C48E9" w:rsidRDefault="009C48E9"/>
    <w:sectPr w:rsidR="009C48E9" w:rsidSect="00542156">
      <w:footerReference w:type="default" r:id="rId7"/>
      <w:headerReference w:type="first" r:id="rId8"/>
      <w:footnotePr>
        <w:numRestart w:val="eachPage"/>
      </w:footnotePr>
      <w:endnotePr>
        <w:numFmt w:val="decimal"/>
      </w:endnotePr>
      <w:pgSz w:w="11906" w:h="16838" w:code="9"/>
      <w:pgMar w:top="1077" w:right="1077" w:bottom="992" w:left="1134" w:header="709" w:footer="1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D7D1E" w14:textId="77777777" w:rsidR="00A92065" w:rsidRDefault="00A92065" w:rsidP="00542156">
      <w:pPr>
        <w:spacing w:after="0" w:line="240" w:lineRule="auto"/>
      </w:pPr>
      <w:r>
        <w:separator/>
      </w:r>
    </w:p>
  </w:endnote>
  <w:endnote w:type="continuationSeparator" w:id="0">
    <w:p w14:paraId="6C824DBF" w14:textId="77777777" w:rsidR="00A92065" w:rsidRDefault="00A92065" w:rsidP="005421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AE171" w14:textId="77777777" w:rsidR="00542156" w:rsidRDefault="00542156">
    <w:pPr>
      <w:pStyle w:val="Stopka"/>
      <w:jc w:val="center"/>
    </w:pPr>
    <w:r>
      <w:fldChar w:fldCharType="begin"/>
    </w:r>
    <w:r>
      <w:instrText>PAGE   \* MERGEFORMAT</w:instrText>
    </w:r>
    <w:r>
      <w:fldChar w:fldCharType="separate"/>
    </w:r>
    <w:r>
      <w:rPr>
        <w:noProof/>
      </w:rPr>
      <w:t>18</w:t>
    </w:r>
    <w:r>
      <w:fldChar w:fldCharType="end"/>
    </w:r>
  </w:p>
  <w:p w14:paraId="43875D94" w14:textId="77777777" w:rsidR="00542156" w:rsidRDefault="005421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C43A3" w14:textId="77777777" w:rsidR="00A92065" w:rsidRDefault="00A92065" w:rsidP="00542156">
      <w:pPr>
        <w:spacing w:after="0" w:line="240" w:lineRule="auto"/>
      </w:pPr>
      <w:r>
        <w:separator/>
      </w:r>
    </w:p>
  </w:footnote>
  <w:footnote w:type="continuationSeparator" w:id="0">
    <w:p w14:paraId="59D04F8D" w14:textId="77777777" w:rsidR="00A92065" w:rsidRDefault="00A92065" w:rsidP="005421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777B7" w14:textId="54C731FD" w:rsidR="00542156" w:rsidRDefault="00542156" w:rsidP="000A1B06">
    <w:pPr>
      <w:pStyle w:val="Bezodstpw"/>
      <w:rPr>
        <w:rFonts w:ascii="Times New Roman" w:hAnsi="Times New Roman"/>
        <w:sz w:val="18"/>
        <w:szCs w:val="18"/>
      </w:rPr>
    </w:pPr>
    <w:r w:rsidRPr="007379FA">
      <w:rPr>
        <w:noProof/>
      </w:rPr>
      <w:drawing>
        <wp:inline distT="0" distB="0" distL="0" distR="0" wp14:anchorId="78D58EF3" wp14:editId="33D9EA87">
          <wp:extent cx="5760720" cy="504190"/>
          <wp:effectExtent l="0" t="0" r="0" b="0"/>
          <wp:docPr id="13172781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04190"/>
                  </a:xfrm>
                  <a:prstGeom prst="rect">
                    <a:avLst/>
                  </a:prstGeom>
                  <a:noFill/>
                  <a:ln>
                    <a:noFill/>
                  </a:ln>
                </pic:spPr>
              </pic:pic>
            </a:graphicData>
          </a:graphic>
        </wp:inline>
      </w:drawing>
    </w:r>
  </w:p>
  <w:p w14:paraId="24F86BF8" w14:textId="77777777" w:rsidR="00542156" w:rsidRPr="000A1B06" w:rsidRDefault="00542156" w:rsidP="000A1B06">
    <w:pPr>
      <w:pStyle w:val="Bezodstpw"/>
      <w:rPr>
        <w:rFonts w:ascii="Times New Roman" w:hAnsi="Times New Roman"/>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D6B2A"/>
    <w:multiLevelType w:val="hybridMultilevel"/>
    <w:tmpl w:val="80280B6C"/>
    <w:lvl w:ilvl="0" w:tplc="A970AEB0">
      <w:start w:val="1"/>
      <w:numFmt w:val="decimal"/>
      <w:lvlText w:val="%1."/>
      <w:lvlJc w:val="left"/>
      <w:pPr>
        <w:ind w:left="1434" w:hanging="360"/>
      </w:pPr>
      <w:rPr>
        <w:b w:val="0"/>
        <w:i w:val="0"/>
      </w:r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1" w15:restartNumberingAfterBreak="0">
    <w:nsid w:val="15C4430F"/>
    <w:multiLevelType w:val="hybridMultilevel"/>
    <w:tmpl w:val="A260C808"/>
    <w:lvl w:ilvl="0" w:tplc="04150011">
      <w:start w:val="1"/>
      <w:numFmt w:val="decimal"/>
      <w:lvlText w:val="%1)"/>
      <w:lvlJc w:val="left"/>
      <w:pPr>
        <w:ind w:left="1434" w:hanging="360"/>
      </w:p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2" w15:restartNumberingAfterBreak="0">
    <w:nsid w:val="37CB2228"/>
    <w:multiLevelType w:val="hybridMultilevel"/>
    <w:tmpl w:val="80280B6C"/>
    <w:lvl w:ilvl="0" w:tplc="A970AEB0">
      <w:start w:val="1"/>
      <w:numFmt w:val="decimal"/>
      <w:lvlText w:val="%1."/>
      <w:lvlJc w:val="left"/>
      <w:pPr>
        <w:ind w:left="1434" w:hanging="360"/>
      </w:pPr>
      <w:rPr>
        <w:b w:val="0"/>
        <w:i w:val="0"/>
      </w:r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3" w15:restartNumberingAfterBreak="0">
    <w:nsid w:val="3D202F29"/>
    <w:multiLevelType w:val="hybridMultilevel"/>
    <w:tmpl w:val="D97CFC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BF246F2"/>
    <w:multiLevelType w:val="hybridMultilevel"/>
    <w:tmpl w:val="20D85E82"/>
    <w:lvl w:ilvl="0" w:tplc="04150015">
      <w:start w:val="1"/>
      <w:numFmt w:val="upperLetter"/>
      <w:lvlText w:val="%1."/>
      <w:lvlJc w:val="left"/>
      <w:pPr>
        <w:ind w:left="502" w:hanging="360"/>
      </w:pPr>
      <w:rPr>
        <w:rFonts w:hint="default"/>
        <w:b/>
        <w:color w:val="auto"/>
      </w:rPr>
    </w:lvl>
    <w:lvl w:ilvl="1" w:tplc="04150003">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5" w15:restartNumberingAfterBreak="0">
    <w:nsid w:val="55212B01"/>
    <w:multiLevelType w:val="hybridMultilevel"/>
    <w:tmpl w:val="DBF280F8"/>
    <w:lvl w:ilvl="0" w:tplc="47B8AE28">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6" w15:restartNumberingAfterBreak="0">
    <w:nsid w:val="592405CE"/>
    <w:multiLevelType w:val="hybridMultilevel"/>
    <w:tmpl w:val="AC5E01F2"/>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7" w15:restartNumberingAfterBreak="0">
    <w:nsid w:val="78407503"/>
    <w:multiLevelType w:val="hybridMultilevel"/>
    <w:tmpl w:val="A260C808"/>
    <w:lvl w:ilvl="0" w:tplc="04150011">
      <w:start w:val="1"/>
      <w:numFmt w:val="decimal"/>
      <w:lvlText w:val="%1)"/>
      <w:lvlJc w:val="left"/>
      <w:pPr>
        <w:ind w:left="1434" w:hanging="360"/>
      </w:p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num w:numId="1" w16cid:durableId="1036587797">
    <w:abstractNumId w:val="4"/>
  </w:num>
  <w:num w:numId="2" w16cid:durableId="1722901421">
    <w:abstractNumId w:val="5"/>
  </w:num>
  <w:num w:numId="3" w16cid:durableId="498081479">
    <w:abstractNumId w:val="2"/>
  </w:num>
  <w:num w:numId="4" w16cid:durableId="1810900018">
    <w:abstractNumId w:val="7"/>
  </w:num>
  <w:num w:numId="5" w16cid:durableId="1970552470">
    <w:abstractNumId w:val="1"/>
  </w:num>
  <w:num w:numId="6" w16cid:durableId="256990317">
    <w:abstractNumId w:val="3"/>
  </w:num>
  <w:num w:numId="7" w16cid:durableId="1919558808">
    <w:abstractNumId w:val="0"/>
  </w:num>
  <w:num w:numId="8" w16cid:durableId="18245425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156"/>
    <w:rsid w:val="000952B4"/>
    <w:rsid w:val="00190A2C"/>
    <w:rsid w:val="001F6B86"/>
    <w:rsid w:val="002C060E"/>
    <w:rsid w:val="00542156"/>
    <w:rsid w:val="00570CFA"/>
    <w:rsid w:val="006C589E"/>
    <w:rsid w:val="008505A1"/>
    <w:rsid w:val="00893A4C"/>
    <w:rsid w:val="009C48E9"/>
    <w:rsid w:val="009E205D"/>
    <w:rsid w:val="00A92065"/>
    <w:rsid w:val="00AF3050"/>
    <w:rsid w:val="00AF6B32"/>
    <w:rsid w:val="00BA285D"/>
    <w:rsid w:val="00D50593"/>
    <w:rsid w:val="00F322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6A7E2"/>
  <w15:chartTrackingRefBased/>
  <w15:docId w15:val="{46A44793-75CF-4F93-9D9F-8D1262E63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42156"/>
    <w:pPr>
      <w:spacing w:after="200" w:line="276" w:lineRule="auto"/>
    </w:pPr>
    <w:rPr>
      <w:rFonts w:ascii="Calibri" w:eastAsia="Times New Roman" w:hAnsi="Calibri" w:cs="Times New Roman"/>
      <w:kern w:val="0"/>
      <w14:ligatures w14:val="none"/>
    </w:rPr>
  </w:style>
  <w:style w:type="paragraph" w:styleId="Nagwek1">
    <w:name w:val="heading 1"/>
    <w:basedOn w:val="Normalny"/>
    <w:next w:val="Normalny"/>
    <w:link w:val="Nagwek1Znak"/>
    <w:uiPriority w:val="9"/>
    <w:qFormat/>
    <w:rsid w:val="0054215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54215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542156"/>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542156"/>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542156"/>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542156"/>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42156"/>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42156"/>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42156"/>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42156"/>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542156"/>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542156"/>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542156"/>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542156"/>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54215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4215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4215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42156"/>
    <w:rPr>
      <w:rFonts w:eastAsiaTheme="majorEastAsia" w:cstheme="majorBidi"/>
      <w:color w:val="272727" w:themeColor="text1" w:themeTint="D8"/>
    </w:rPr>
  </w:style>
  <w:style w:type="paragraph" w:styleId="Tytu">
    <w:name w:val="Title"/>
    <w:basedOn w:val="Normalny"/>
    <w:next w:val="Normalny"/>
    <w:link w:val="TytuZnak"/>
    <w:uiPriority w:val="10"/>
    <w:qFormat/>
    <w:rsid w:val="0054215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4215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4215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4215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42156"/>
    <w:pPr>
      <w:spacing w:before="160"/>
      <w:jc w:val="center"/>
    </w:pPr>
    <w:rPr>
      <w:i/>
      <w:iCs/>
      <w:color w:val="404040" w:themeColor="text1" w:themeTint="BF"/>
    </w:rPr>
  </w:style>
  <w:style w:type="character" w:customStyle="1" w:styleId="CytatZnak">
    <w:name w:val="Cytat Znak"/>
    <w:basedOn w:val="Domylnaczcionkaakapitu"/>
    <w:link w:val="Cytat"/>
    <w:uiPriority w:val="29"/>
    <w:rsid w:val="00542156"/>
    <w:rPr>
      <w:i/>
      <w:iCs/>
      <w:color w:val="404040" w:themeColor="text1" w:themeTint="BF"/>
    </w:rPr>
  </w:style>
  <w:style w:type="paragraph" w:styleId="Akapitzlist">
    <w:name w:val="List Paragraph"/>
    <w:aliases w:val="Akapit z listą 1,maz_wyliczenie,opis dzialania,K-P_odwolanie,A_wyliczenie,Akapit z listą5"/>
    <w:basedOn w:val="Normalny"/>
    <w:link w:val="AkapitzlistZnak"/>
    <w:uiPriority w:val="34"/>
    <w:qFormat/>
    <w:rsid w:val="00542156"/>
    <w:pPr>
      <w:ind w:left="720"/>
      <w:contextualSpacing/>
    </w:pPr>
  </w:style>
  <w:style w:type="character" w:styleId="Wyrnienieintensywne">
    <w:name w:val="Intense Emphasis"/>
    <w:basedOn w:val="Domylnaczcionkaakapitu"/>
    <w:uiPriority w:val="21"/>
    <w:qFormat/>
    <w:rsid w:val="00542156"/>
    <w:rPr>
      <w:i/>
      <w:iCs/>
      <w:color w:val="2F5496" w:themeColor="accent1" w:themeShade="BF"/>
    </w:rPr>
  </w:style>
  <w:style w:type="paragraph" w:styleId="Cytatintensywny">
    <w:name w:val="Intense Quote"/>
    <w:basedOn w:val="Normalny"/>
    <w:next w:val="Normalny"/>
    <w:link w:val="CytatintensywnyZnak"/>
    <w:uiPriority w:val="30"/>
    <w:qFormat/>
    <w:rsid w:val="0054215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542156"/>
    <w:rPr>
      <w:i/>
      <w:iCs/>
      <w:color w:val="2F5496" w:themeColor="accent1" w:themeShade="BF"/>
    </w:rPr>
  </w:style>
  <w:style w:type="character" w:styleId="Odwoanieintensywne">
    <w:name w:val="Intense Reference"/>
    <w:basedOn w:val="Domylnaczcionkaakapitu"/>
    <w:uiPriority w:val="32"/>
    <w:qFormat/>
    <w:rsid w:val="00542156"/>
    <w:rPr>
      <w:b/>
      <w:bCs/>
      <w:smallCaps/>
      <w:color w:val="2F5496" w:themeColor="accent1" w:themeShade="BF"/>
      <w:spacing w:val="5"/>
    </w:rPr>
  </w:style>
  <w:style w:type="paragraph" w:styleId="Stopka">
    <w:name w:val="footer"/>
    <w:basedOn w:val="Normalny"/>
    <w:link w:val="StopkaZnak"/>
    <w:uiPriority w:val="99"/>
    <w:rsid w:val="0054215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42156"/>
    <w:rPr>
      <w:rFonts w:ascii="Calibri" w:eastAsia="Times New Roman" w:hAnsi="Calibri" w:cs="Times New Roman"/>
      <w:kern w:val="0"/>
      <w14:ligatures w14:val="none"/>
    </w:rPr>
  </w:style>
  <w:style w:type="paragraph" w:styleId="Bezodstpw">
    <w:name w:val="No Spacing"/>
    <w:uiPriority w:val="1"/>
    <w:qFormat/>
    <w:rsid w:val="00542156"/>
    <w:pPr>
      <w:spacing w:after="0" w:line="240" w:lineRule="auto"/>
    </w:pPr>
    <w:rPr>
      <w:rFonts w:eastAsia="Times New Roman" w:cs="Times New Roman"/>
      <w:kern w:val="0"/>
      <w14:ligatures w14:val="none"/>
    </w:rPr>
  </w:style>
  <w:style w:type="character" w:customStyle="1" w:styleId="AkapitzlistZnak">
    <w:name w:val="Akapit z listą Znak"/>
    <w:aliases w:val="Akapit z listą 1 Znak,maz_wyliczenie Znak,opis dzialania Znak,K-P_odwolanie Znak,A_wyliczenie Znak,Akapit z listą5 Znak"/>
    <w:link w:val="Akapitzlist"/>
    <w:uiPriority w:val="34"/>
    <w:qFormat/>
    <w:locked/>
    <w:rsid w:val="00542156"/>
  </w:style>
  <w:style w:type="paragraph" w:styleId="Nagwek">
    <w:name w:val="header"/>
    <w:basedOn w:val="Normalny"/>
    <w:link w:val="NagwekZnak"/>
    <w:uiPriority w:val="99"/>
    <w:unhideWhenUsed/>
    <w:rsid w:val="0054215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42156"/>
    <w:rPr>
      <w:rFonts w:ascii="Calibri" w:eastAsia="Times New Roman"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20</Pages>
  <Words>6866</Words>
  <Characters>41196</Characters>
  <Application>Microsoft Office Word</Application>
  <DocSecurity>0</DocSecurity>
  <Lines>343</Lines>
  <Paragraphs>95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Iwona Szarlak</dc:creator>
  <cp:keywords/>
  <dc:description/>
  <cp:lastModifiedBy>Iwona Szarlak</cp:lastModifiedBy>
  <cp:revision>5</cp:revision>
  <dcterms:created xsi:type="dcterms:W3CDTF">2026-04-22T09:16:00Z</dcterms:created>
  <dcterms:modified xsi:type="dcterms:W3CDTF">2026-04-28T12:46:00Z</dcterms:modified>
</cp:coreProperties>
</file>